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
          <w:szCs w:val="2"/>
          <w:color w:val="auto"/>
        </w:rPr>
        <w:t>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7" w:lineRule="exact"/>
        <w:rPr>
          <w:sz w:val="24"/>
          <w:szCs w:val="24"/>
          <w:color w:val="auto"/>
        </w:rPr>
      </w:pPr>
    </w:p>
    <w:p>
      <w:pPr>
        <w:jc w:val="center"/>
        <w:ind w:right="-7"/>
        <w:spacing w:after="0"/>
        <w:rPr>
          <w:sz w:val="20"/>
          <w:szCs w:val="20"/>
          <w:color w:val="auto"/>
        </w:rPr>
      </w:pPr>
      <w:r>
        <w:rPr>
          <w:rFonts w:ascii="Arial" w:cs="Arial" w:eastAsia="Arial" w:hAnsi="Arial"/>
          <w:sz w:val="16"/>
          <w:szCs w:val="16"/>
          <w:b w:val="1"/>
          <w:bCs w:val="1"/>
          <w:color w:val="auto"/>
        </w:rPr>
        <w:t>UNITED STATES</w:t>
      </w:r>
    </w:p>
    <w:p>
      <w:pPr>
        <w:spacing w:after="0" w:line="14" w:lineRule="exact"/>
        <w:rPr>
          <w:sz w:val="24"/>
          <w:szCs w:val="24"/>
          <w:color w:val="auto"/>
        </w:rPr>
      </w:pPr>
    </w:p>
    <w:p>
      <w:pPr>
        <w:jc w:val="center"/>
        <w:ind w:right="-7"/>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33655</wp:posOffset>
            </wp:positionV>
            <wp:extent cx="13487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47" w:lineRule="exact"/>
        <w:rPr>
          <w:sz w:val="24"/>
          <w:szCs w:val="24"/>
          <w:color w:val="auto"/>
        </w:rPr>
      </w:pPr>
    </w:p>
    <w:p>
      <w:pPr>
        <w:jc w:val="center"/>
        <w:ind w:right="-7"/>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34290</wp:posOffset>
            </wp:positionV>
            <wp:extent cx="1348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50"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588" w:hanging="588"/>
        <w:spacing w:after="0" w:line="235" w:lineRule="auto"/>
        <w:tabs>
          <w:tab w:leader="none" w:pos="588" w:val="left"/>
        </w:tabs>
        <w:numPr>
          <w:ilvl w:val="0"/>
          <w:numId w:val="1"/>
        </w:numPr>
        <w:rPr>
          <w:rFonts w:ascii="MS PGothic" w:cs="MS PGothic" w:eastAsia="MS PGothic" w:hAnsi="MS PGothic"/>
          <w:sz w:val="11"/>
          <w:szCs w:val="11"/>
          <w:color w:val="auto"/>
        </w:rPr>
      </w:pPr>
      <w:r>
        <w:rPr>
          <w:rFonts w:ascii="Arial" w:cs="Arial" w:eastAsia="Arial" w:hAnsi="Arial"/>
          <w:sz w:val="10"/>
          <w:szCs w:val="10"/>
          <w:b w:val="1"/>
          <w:bCs w:val="1"/>
          <w:color w:val="auto"/>
        </w:rPr>
        <w:t>ANNUAL REPORT PURSUANT TO SECTION 13 OR 15(d) OF THE SECURITIES EXCHANGE ACT OF 1934</w:t>
      </w:r>
    </w:p>
    <w:p>
      <w:pPr>
        <w:spacing w:after="0" w:line="39"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 the fiscal year ended: December 31, 2020</w:t>
      </w:r>
    </w:p>
    <w:p>
      <w:pPr>
        <w:spacing w:after="0" w:line="8" w:lineRule="exact"/>
        <w:rPr>
          <w:sz w:val="24"/>
          <w:szCs w:val="24"/>
          <w:color w:val="auto"/>
        </w:rPr>
      </w:pPr>
    </w:p>
    <w:p>
      <w:pPr>
        <w:ind w:left="588" w:hanging="588"/>
        <w:spacing w:after="0"/>
        <w:tabs>
          <w:tab w:leader="none" w:pos="588" w:val="left"/>
        </w:tabs>
        <w:numPr>
          <w:ilvl w:val="0"/>
          <w:numId w:val="2"/>
        </w:numPr>
        <w:rPr>
          <w:rFonts w:ascii="MS PGothic" w:cs="MS PGothic" w:eastAsia="MS PGothic" w:hAnsi="MS PGothic"/>
          <w:sz w:val="11"/>
          <w:szCs w:val="11"/>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4548" w:type="dxa"/>
        <w:tblCellMar>
          <w:top w:w="0" w:type="dxa"/>
          <w:left w:w="0" w:type="dxa"/>
          <w:bottom w:w="0" w:type="dxa"/>
          <w:right w:w="0" w:type="dxa"/>
        </w:tblCellMar>
      </w:tblPr>
      <w:tr>
        <w:trPr>
          <w:trHeight w:val="115"/>
        </w:trPr>
        <w:tc>
          <w:tcPr>
            <w:tcW w:w="1260" w:type="dxa"/>
            <w:vAlign w:val="bottom"/>
          </w:tcPr>
          <w:p>
            <w:pPr>
              <w:spacing w:after="0"/>
              <w:rPr>
                <w:sz w:val="20"/>
                <w:szCs w:val="20"/>
                <w:color w:val="auto"/>
              </w:rPr>
            </w:pPr>
            <w:r>
              <w:rPr>
                <w:rFonts w:ascii="Arial" w:cs="Arial" w:eastAsia="Arial" w:hAnsi="Arial"/>
                <w:sz w:val="10"/>
                <w:szCs w:val="10"/>
                <w:b w:val="1"/>
                <w:bCs w:val="1"/>
                <w:color w:val="auto"/>
                <w:w w:val="88"/>
              </w:rPr>
              <w:t>For the transition period from</w:t>
            </w:r>
          </w:p>
        </w:tc>
        <w:tc>
          <w:tcPr>
            <w:tcW w:w="380" w:type="dxa"/>
            <w:vAlign w:val="bottom"/>
            <w:tcBorders>
              <w:bottom w:val="single" w:sz="8" w:color="auto"/>
            </w:tcBorders>
          </w:tcPr>
          <w:p>
            <w:pPr>
              <w:spacing w:after="0"/>
              <w:rPr>
                <w:sz w:val="10"/>
                <w:szCs w:val="10"/>
                <w:color w:val="auto"/>
              </w:rPr>
            </w:pPr>
          </w:p>
        </w:tc>
        <w:tc>
          <w:tcPr>
            <w:tcW w:w="140" w:type="dxa"/>
            <w:vAlign w:val="bottom"/>
          </w:tcPr>
          <w:p>
            <w:pPr>
              <w:ind w:left="40"/>
              <w:spacing w:after="0"/>
              <w:rPr>
                <w:sz w:val="20"/>
                <w:szCs w:val="20"/>
                <w:color w:val="auto"/>
              </w:rPr>
            </w:pPr>
            <w:r>
              <w:rPr>
                <w:rFonts w:ascii="Arial" w:cs="Arial" w:eastAsia="Arial" w:hAnsi="Arial"/>
                <w:sz w:val="10"/>
                <w:szCs w:val="10"/>
                <w:b w:val="1"/>
                <w:bCs w:val="1"/>
                <w:color w:val="auto"/>
                <w:w w:val="84"/>
              </w:rPr>
              <w:t>to</w:t>
            </w:r>
          </w:p>
        </w:tc>
        <w:tc>
          <w:tcPr>
            <w:tcW w:w="380" w:type="dxa"/>
            <w:vAlign w:val="bottom"/>
            <w:tcBorders>
              <w:bottom w:val="single" w:sz="8" w:color="auto"/>
            </w:tcBorders>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125"/>
        </w:trPr>
        <w:tc>
          <w:tcPr>
            <w:tcW w:w="1780" w:type="dxa"/>
            <w:vAlign w:val="bottom"/>
            <w:gridSpan w:val="3"/>
          </w:tcPr>
          <w:p>
            <w:pPr>
              <w:ind w:left="440"/>
              <w:spacing w:after="0"/>
              <w:rPr>
                <w:sz w:val="20"/>
                <w:szCs w:val="20"/>
                <w:color w:val="auto"/>
              </w:rPr>
            </w:pPr>
            <w:r>
              <w:rPr>
                <w:rFonts w:ascii="Arial" w:cs="Arial" w:eastAsia="Arial" w:hAnsi="Arial"/>
                <w:sz w:val="10"/>
                <w:szCs w:val="10"/>
                <w:b w:val="1"/>
                <w:bCs w:val="1"/>
                <w:color w:val="auto"/>
                <w:w w:val="86"/>
              </w:rPr>
              <w:t>Commission File No.: 001-36593</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35" w:lineRule="exact"/>
        <w:rPr>
          <w:sz w:val="24"/>
          <w:szCs w:val="24"/>
          <w:color w:val="auto"/>
        </w:rPr>
      </w:pPr>
    </w:p>
    <w:tbl>
      <w:tblPr>
        <w:tblLayout w:type="fixed"/>
        <w:tblInd w:w="18" w:type="dxa"/>
        <w:tblCellMar>
          <w:top w:w="0" w:type="dxa"/>
          <w:left w:w="0" w:type="dxa"/>
          <w:bottom w:w="0" w:type="dxa"/>
          <w:right w:w="0" w:type="dxa"/>
        </w:tblCellMar>
      </w:tblPr>
      <w:tr>
        <w:trPr>
          <w:trHeight w:val="20"/>
        </w:trPr>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spacing w:after="0"/>
              <w:rPr>
                <w:sz w:val="20"/>
                <w:szCs w:val="20"/>
                <w:color w:val="auto"/>
              </w:rPr>
            </w:pPr>
          </w:p>
        </w:tc>
        <w:tc>
          <w:tcPr>
            <w:tcW w:w="3580" w:type="dxa"/>
            <w:vAlign w:val="bottom"/>
            <w:gridSpan w:val="5"/>
          </w:tcPr>
          <w:p>
            <w:pPr>
              <w:jc w:val="center"/>
              <w:ind w:right="160"/>
              <w:spacing w:after="0" w:line="236" w:lineRule="exact"/>
              <w:rPr>
                <w:sz w:val="20"/>
                <w:szCs w:val="20"/>
                <w:color w:val="auto"/>
              </w:rPr>
            </w:pPr>
            <w:r>
              <w:rPr>
                <w:rFonts w:ascii="Arial" w:cs="Arial" w:eastAsia="Arial" w:hAnsi="Arial"/>
                <w:sz w:val="22"/>
                <w:szCs w:val="22"/>
                <w:b w:val="1"/>
                <w:bCs w:val="1"/>
                <w:color w:val="auto"/>
                <w:w w:val="87"/>
              </w:rPr>
              <w:t>Soleno Therapeutics, Inc.</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3940" w:type="dxa"/>
            <w:vAlign w:val="bottom"/>
          </w:tcPr>
          <w:p>
            <w:pPr>
              <w:spacing w:after="0"/>
              <w:rPr>
                <w:sz w:val="10"/>
                <w:szCs w:val="10"/>
                <w:color w:val="auto"/>
              </w:rPr>
            </w:pPr>
          </w:p>
        </w:tc>
        <w:tc>
          <w:tcPr>
            <w:tcW w:w="358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5"/>
              </w:rPr>
              <w:t>(Exact name of Registrant as specified in its charter)</w:t>
            </w: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3940" w:type="dxa"/>
            <w:vAlign w:val="bottom"/>
            <w:vMerge w:val="restart"/>
          </w:tcPr>
          <w:p>
            <w:pPr>
              <w:jc w:val="center"/>
              <w:ind w:left="1554"/>
              <w:spacing w:after="0"/>
              <w:rPr>
                <w:sz w:val="20"/>
                <w:szCs w:val="20"/>
                <w:color w:val="auto"/>
              </w:rPr>
            </w:pPr>
            <w:r>
              <w:rPr>
                <w:rFonts w:ascii="Arial" w:cs="Arial" w:eastAsia="Arial" w:hAnsi="Arial"/>
                <w:sz w:val="10"/>
                <w:szCs w:val="10"/>
                <w:b w:val="1"/>
                <w:bCs w:val="1"/>
                <w:color w:val="auto"/>
                <w:w w:val="86"/>
              </w:rPr>
              <w:t>Delaware</w:t>
            </w:r>
          </w:p>
        </w:tc>
        <w:tc>
          <w:tcPr>
            <w:tcW w:w="6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3780" w:type="dxa"/>
            <w:vAlign w:val="bottom"/>
            <w:vMerge w:val="restart"/>
          </w:tcPr>
          <w:p>
            <w:pPr>
              <w:jc w:val="right"/>
              <w:ind w:right="2495"/>
              <w:spacing w:after="0"/>
              <w:rPr>
                <w:sz w:val="20"/>
                <w:szCs w:val="20"/>
                <w:color w:val="auto"/>
              </w:rPr>
            </w:pPr>
            <w:r>
              <w:rPr>
                <w:rFonts w:ascii="Arial" w:cs="Arial" w:eastAsia="Arial" w:hAnsi="Arial"/>
                <w:sz w:val="10"/>
                <w:szCs w:val="10"/>
                <w:b w:val="1"/>
                <w:bCs w:val="1"/>
                <w:color w:val="auto"/>
              </w:rPr>
              <w:t>77-0523891</w:t>
            </w:r>
          </w:p>
        </w:tc>
        <w:tc>
          <w:tcPr>
            <w:tcW w:w="0" w:type="dxa"/>
            <w:vAlign w:val="bottom"/>
          </w:tcPr>
          <w:p>
            <w:pPr>
              <w:spacing w:after="0"/>
              <w:rPr>
                <w:sz w:val="1"/>
                <w:szCs w:val="1"/>
                <w:color w:val="auto"/>
              </w:rPr>
            </w:pPr>
          </w:p>
        </w:tc>
      </w:tr>
      <w:tr>
        <w:trPr>
          <w:trHeight w:val="104"/>
        </w:trPr>
        <w:tc>
          <w:tcPr>
            <w:tcW w:w="39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940" w:type="dxa"/>
            <w:vAlign w:val="bottom"/>
          </w:tcPr>
          <w:p>
            <w:pPr>
              <w:jc w:val="center"/>
              <w:ind w:left="1554"/>
              <w:spacing w:after="0" w:line="90" w:lineRule="exact"/>
              <w:rPr>
                <w:sz w:val="20"/>
                <w:szCs w:val="20"/>
                <w:color w:val="auto"/>
              </w:rPr>
            </w:pPr>
            <w:r>
              <w:rPr>
                <w:rFonts w:ascii="Arial" w:cs="Arial" w:eastAsia="Arial" w:hAnsi="Arial"/>
                <w:sz w:val="8"/>
                <w:szCs w:val="8"/>
                <w:b w:val="1"/>
                <w:bCs w:val="1"/>
                <w:color w:val="auto"/>
                <w:w w:val="94"/>
              </w:rPr>
              <w:t>(State or other Jurisdiction of</w:t>
            </w: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780" w:type="dxa"/>
            <w:vAlign w:val="bottom"/>
          </w:tcPr>
          <w:p>
            <w:pPr>
              <w:jc w:val="center"/>
              <w:ind w:right="1715"/>
              <w:spacing w:after="0" w:line="90"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107"/>
        </w:trPr>
        <w:tc>
          <w:tcPr>
            <w:tcW w:w="3940" w:type="dxa"/>
            <w:vAlign w:val="bottom"/>
          </w:tcPr>
          <w:p>
            <w:pPr>
              <w:jc w:val="center"/>
              <w:ind w:left="1534"/>
              <w:spacing w:after="0"/>
              <w:rPr>
                <w:sz w:val="20"/>
                <w:szCs w:val="20"/>
                <w:color w:val="auto"/>
              </w:rPr>
            </w:pPr>
            <w:r>
              <w:rPr>
                <w:rFonts w:ascii="Arial" w:cs="Arial" w:eastAsia="Arial" w:hAnsi="Arial"/>
                <w:sz w:val="8"/>
                <w:szCs w:val="8"/>
                <w:b w:val="1"/>
                <w:bCs w:val="1"/>
                <w:color w:val="auto"/>
                <w:w w:val="96"/>
              </w:rPr>
              <w:t>Incorporation or Organization)</w:t>
            </w: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jc w:val="center"/>
              <w:ind w:right="1715"/>
              <w:spacing w:after="0"/>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15"/>
        </w:trPr>
        <w:tc>
          <w:tcPr>
            <w:tcW w:w="3940" w:type="dxa"/>
            <w:vAlign w:val="bottom"/>
          </w:tcPr>
          <w:p>
            <w:pPr>
              <w:jc w:val="center"/>
              <w:ind w:left="1554"/>
              <w:spacing w:after="0"/>
              <w:rPr>
                <w:sz w:val="20"/>
                <w:szCs w:val="20"/>
                <w:color w:val="auto"/>
              </w:rPr>
            </w:pPr>
            <w:r>
              <w:rPr>
                <w:rFonts w:ascii="Arial" w:cs="Arial" w:eastAsia="Arial" w:hAnsi="Arial"/>
                <w:sz w:val="10"/>
                <w:szCs w:val="10"/>
                <w:b w:val="1"/>
                <w:bCs w:val="1"/>
                <w:color w:val="auto"/>
                <w:w w:val="85"/>
              </w:rPr>
              <w:t>203 Redwood Shores Parkway, Suite 500</w:t>
            </w: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940" w:type="dxa"/>
            <w:vAlign w:val="bottom"/>
          </w:tcPr>
          <w:p>
            <w:pPr>
              <w:jc w:val="center"/>
              <w:ind w:left="1534"/>
              <w:spacing w:after="0" w:line="112" w:lineRule="exact"/>
              <w:rPr>
                <w:sz w:val="20"/>
                <w:szCs w:val="20"/>
                <w:color w:val="auto"/>
              </w:rPr>
            </w:pPr>
            <w:r>
              <w:rPr>
                <w:rFonts w:ascii="Arial" w:cs="Arial" w:eastAsia="Arial" w:hAnsi="Arial"/>
                <w:sz w:val="10"/>
                <w:szCs w:val="10"/>
                <w:b w:val="1"/>
                <w:bCs w:val="1"/>
                <w:color w:val="auto"/>
                <w:w w:val="87"/>
              </w:rPr>
              <w:t>Redwood City, California</w:t>
            </w: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jc w:val="right"/>
              <w:ind w:right="2615"/>
              <w:spacing w:after="0" w:line="112" w:lineRule="exact"/>
              <w:rPr>
                <w:sz w:val="20"/>
                <w:szCs w:val="20"/>
                <w:color w:val="auto"/>
              </w:rPr>
            </w:pPr>
            <w:r>
              <w:rPr>
                <w:rFonts w:ascii="Arial" w:cs="Arial" w:eastAsia="Arial" w:hAnsi="Arial"/>
                <w:sz w:val="10"/>
                <w:szCs w:val="10"/>
                <w:b w:val="1"/>
                <w:bCs w:val="1"/>
                <w:color w:val="auto"/>
              </w:rPr>
              <w:t>94065</w:t>
            </w:r>
          </w:p>
        </w:tc>
        <w:tc>
          <w:tcPr>
            <w:tcW w:w="0" w:type="dxa"/>
            <w:vAlign w:val="bottom"/>
          </w:tcPr>
          <w:p>
            <w:pPr>
              <w:spacing w:after="0"/>
              <w:rPr>
                <w:sz w:val="1"/>
                <w:szCs w:val="1"/>
                <w:color w:val="auto"/>
              </w:rPr>
            </w:pPr>
          </w:p>
        </w:tc>
      </w:tr>
      <w:tr>
        <w:trPr>
          <w:trHeight w:val="107"/>
        </w:trPr>
        <w:tc>
          <w:tcPr>
            <w:tcW w:w="3940" w:type="dxa"/>
            <w:vAlign w:val="bottom"/>
          </w:tcPr>
          <w:p>
            <w:pPr>
              <w:jc w:val="center"/>
              <w:ind w:left="1554"/>
              <w:spacing w:after="0"/>
              <w:rPr>
                <w:sz w:val="20"/>
                <w:szCs w:val="20"/>
                <w:color w:val="auto"/>
              </w:rPr>
            </w:pPr>
            <w:r>
              <w:rPr>
                <w:rFonts w:ascii="Arial" w:cs="Arial" w:eastAsia="Arial" w:hAnsi="Arial"/>
                <w:sz w:val="8"/>
                <w:szCs w:val="8"/>
                <w:b w:val="1"/>
                <w:bCs w:val="1"/>
                <w:color w:val="auto"/>
                <w:w w:val="92"/>
              </w:rPr>
              <w:t>(Address of principal executive offices)</w:t>
            </w: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80" w:type="dxa"/>
            <w:vAlign w:val="bottom"/>
          </w:tcPr>
          <w:p>
            <w:pPr>
              <w:jc w:val="center"/>
              <w:ind w:right="1715"/>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120"/>
        </w:trPr>
        <w:tc>
          <w:tcPr>
            <w:tcW w:w="39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0"/>
                <w:szCs w:val="10"/>
                <w:b w:val="1"/>
                <w:bCs w:val="1"/>
                <w:color w:val="auto"/>
                <w:w w:val="85"/>
              </w:rPr>
              <w:t>Registrant’s telephone number, including area code: (650) 213-8444</w:t>
            </w:r>
          </w:p>
        </w:tc>
        <w:tc>
          <w:tcPr>
            <w:tcW w:w="3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940" w:type="dxa"/>
            <w:vAlign w:val="bottom"/>
            <w:tcBorders>
              <w:left w:val="single" w:sz="8" w:color="auto"/>
              <w:bottom w:val="single" w:sz="8" w:color="auto"/>
            </w:tcBorders>
          </w:tcPr>
          <w:p>
            <w:pPr>
              <w:ind w:left="300"/>
              <w:spacing w:after="0"/>
              <w:rPr>
                <w:sz w:val="20"/>
                <w:szCs w:val="20"/>
                <w:color w:val="auto"/>
              </w:rPr>
            </w:pPr>
            <w:r>
              <w:rPr>
                <w:rFonts w:ascii="Arial" w:cs="Arial" w:eastAsia="Arial" w:hAnsi="Arial"/>
                <w:sz w:val="10"/>
                <w:szCs w:val="10"/>
                <w:b w:val="1"/>
                <w:bCs w:val="1"/>
                <w:color w:val="auto"/>
              </w:rPr>
              <w:t>Securities registered pursuant to Section 12(b) of the Act:</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7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940" w:type="dxa"/>
            <w:vAlign w:val="bottom"/>
            <w:tcBorders>
              <w:left w:val="single" w:sz="8" w:color="auto"/>
              <w:bottom w:val="single" w:sz="8" w:color="auto"/>
            </w:tcBorders>
          </w:tcPr>
          <w:p>
            <w:pPr>
              <w:jc w:val="center"/>
              <w:ind w:left="974"/>
              <w:spacing w:after="0"/>
              <w:rPr>
                <w:sz w:val="20"/>
                <w:szCs w:val="20"/>
                <w:color w:val="auto"/>
              </w:rPr>
            </w:pPr>
            <w:r>
              <w:rPr>
                <w:rFonts w:ascii="Arial" w:cs="Arial" w:eastAsia="Arial" w:hAnsi="Arial"/>
                <w:sz w:val="10"/>
                <w:szCs w:val="10"/>
                <w:b w:val="1"/>
                <w:bCs w:val="1"/>
                <w:color w:val="auto"/>
                <w:w w:val="83"/>
              </w:rPr>
              <w:t>Title of each class</w:t>
            </w: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Trading Symbol(s)</w:t>
            </w:r>
          </w:p>
        </w:tc>
        <w:tc>
          <w:tcPr>
            <w:tcW w:w="960" w:type="dxa"/>
            <w:vAlign w:val="bottom"/>
            <w:tcBorders>
              <w:bottom w:val="single" w:sz="8" w:color="auto"/>
            </w:tcBorders>
            <w:gridSpan w:val="2"/>
          </w:tcPr>
          <w:p>
            <w:pPr>
              <w:spacing w:after="0"/>
              <w:rPr>
                <w:sz w:val="10"/>
                <w:szCs w:val="10"/>
                <w:color w:val="auto"/>
              </w:rPr>
            </w:pPr>
          </w:p>
        </w:tc>
        <w:tc>
          <w:tcPr>
            <w:tcW w:w="3780" w:type="dxa"/>
            <w:vAlign w:val="bottom"/>
            <w:tcBorders>
              <w:bottom w:val="single" w:sz="8" w:color="auto"/>
              <w:right w:val="single" w:sz="8" w:color="auto"/>
            </w:tcBorders>
          </w:tcPr>
          <w:p>
            <w:pPr>
              <w:jc w:val="center"/>
              <w:ind w:right="935"/>
              <w:spacing w:after="0"/>
              <w:rPr>
                <w:sz w:val="20"/>
                <w:szCs w:val="20"/>
                <w:color w:val="auto"/>
              </w:rPr>
            </w:pPr>
            <w:r>
              <w:rPr>
                <w:rFonts w:ascii="Arial" w:cs="Arial" w:eastAsia="Arial" w:hAnsi="Arial"/>
                <w:sz w:val="10"/>
                <w:szCs w:val="10"/>
                <w:b w:val="1"/>
                <w:bCs w:val="1"/>
                <w:color w:val="auto"/>
                <w:w w:val="85"/>
              </w:rPr>
              <w:t>Name of each exchange on which registered</w:t>
            </w:r>
          </w:p>
        </w:tc>
        <w:tc>
          <w:tcPr>
            <w:tcW w:w="0" w:type="dxa"/>
            <w:vAlign w:val="bottom"/>
          </w:tcPr>
          <w:p>
            <w:pPr>
              <w:spacing w:after="0"/>
              <w:rPr>
                <w:sz w:val="1"/>
                <w:szCs w:val="1"/>
                <w:color w:val="auto"/>
              </w:rPr>
            </w:pPr>
          </w:p>
        </w:tc>
      </w:tr>
      <w:tr>
        <w:trPr>
          <w:trHeight w:val="124"/>
        </w:trPr>
        <w:tc>
          <w:tcPr>
            <w:tcW w:w="3940" w:type="dxa"/>
            <w:vAlign w:val="bottom"/>
            <w:tcBorders>
              <w:left w:val="single" w:sz="8" w:color="auto"/>
              <w:bottom w:val="single" w:sz="8" w:color="auto"/>
            </w:tcBorders>
          </w:tcPr>
          <w:p>
            <w:pPr>
              <w:jc w:val="center"/>
              <w:ind w:left="974"/>
              <w:spacing w:after="0"/>
              <w:rPr>
                <w:sz w:val="20"/>
                <w:szCs w:val="20"/>
                <w:color w:val="auto"/>
              </w:rPr>
            </w:pPr>
            <w:r>
              <w:rPr>
                <w:rFonts w:ascii="Arial" w:cs="Arial" w:eastAsia="Arial" w:hAnsi="Arial"/>
                <w:sz w:val="10"/>
                <w:szCs w:val="10"/>
                <w:color w:val="auto"/>
                <w:w w:val="86"/>
              </w:rPr>
              <w:t>Common Stock, $0.001 par value</w:t>
            </w: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SLNO</w:t>
            </w:r>
          </w:p>
        </w:tc>
        <w:tc>
          <w:tcPr>
            <w:tcW w:w="960" w:type="dxa"/>
            <w:vAlign w:val="bottom"/>
            <w:tcBorders>
              <w:bottom w:val="single" w:sz="8" w:color="auto"/>
            </w:tcBorders>
            <w:gridSpan w:val="2"/>
          </w:tcPr>
          <w:p>
            <w:pPr>
              <w:spacing w:after="0"/>
              <w:rPr>
                <w:sz w:val="10"/>
                <w:szCs w:val="10"/>
                <w:color w:val="auto"/>
              </w:rPr>
            </w:pPr>
          </w:p>
        </w:tc>
        <w:tc>
          <w:tcPr>
            <w:tcW w:w="3780" w:type="dxa"/>
            <w:vAlign w:val="bottom"/>
            <w:tcBorders>
              <w:bottom w:val="single" w:sz="8" w:color="auto"/>
              <w:right w:val="single" w:sz="8" w:color="auto"/>
            </w:tcBorders>
          </w:tcPr>
          <w:p>
            <w:pPr>
              <w:jc w:val="center"/>
              <w:ind w:right="935"/>
              <w:spacing w:after="0"/>
              <w:rPr>
                <w:sz w:val="20"/>
                <w:szCs w:val="20"/>
                <w:color w:val="auto"/>
              </w:rPr>
            </w:pPr>
            <w:r>
              <w:rPr>
                <w:rFonts w:ascii="Arial" w:cs="Arial" w:eastAsia="Arial" w:hAnsi="Arial"/>
                <w:sz w:val="10"/>
                <w:szCs w:val="10"/>
                <w:color w:val="auto"/>
                <w:w w:val="94"/>
              </w:rPr>
              <w:t>NASDAQ</w:t>
            </w:r>
          </w:p>
        </w:tc>
        <w:tc>
          <w:tcPr>
            <w:tcW w:w="0" w:type="dxa"/>
            <w:vAlign w:val="bottom"/>
          </w:tcPr>
          <w:p>
            <w:pPr>
              <w:spacing w:after="0"/>
              <w:rPr>
                <w:sz w:val="1"/>
                <w:szCs w:val="1"/>
                <w:color w:val="auto"/>
              </w:rPr>
            </w:pPr>
          </w:p>
        </w:tc>
      </w:tr>
      <w:tr>
        <w:trPr>
          <w:trHeight w:val="201"/>
        </w:trPr>
        <w:tc>
          <w:tcPr>
            <w:tcW w:w="3940" w:type="dxa"/>
            <w:vAlign w:val="bottom"/>
          </w:tcPr>
          <w:p>
            <w:pPr>
              <w:ind w:left="580"/>
              <w:spacing w:after="0"/>
              <w:rPr>
                <w:sz w:val="20"/>
                <w:szCs w:val="20"/>
                <w:color w:val="auto"/>
              </w:rPr>
            </w:pPr>
            <w:r>
              <w:rPr>
                <w:rFonts w:ascii="Arial" w:cs="Arial" w:eastAsia="Arial" w:hAnsi="Arial"/>
                <w:sz w:val="10"/>
                <w:szCs w:val="10"/>
                <w:b w:val="1"/>
                <w:bCs w:val="1"/>
                <w:color w:val="auto"/>
              </w:rPr>
              <w:t>Securities Registered Pursuant to Section 12(g) of the Act: None.</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tbl>
      <w:tblPr>
        <w:tblLayout w:type="fixed"/>
        <w:tblInd w:w="588" w:type="dxa"/>
        <w:tblCellMar>
          <w:top w:w="0" w:type="dxa"/>
          <w:left w:w="0" w:type="dxa"/>
          <w:bottom w:w="0" w:type="dxa"/>
          <w:right w:w="0" w:type="dxa"/>
        </w:tblCellMar>
      </w:tblPr>
      <w:tr>
        <w:trPr>
          <w:trHeight w:val="20"/>
        </w:trPr>
        <w:tc>
          <w:tcPr>
            <w:tcW w:w="4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30"/>
        </w:trPr>
        <w:tc>
          <w:tcPr>
            <w:tcW w:w="4600" w:type="dxa"/>
            <w:vAlign w:val="bottom"/>
            <w:gridSpan w:val="2"/>
          </w:tcPr>
          <w:p>
            <w:pPr>
              <w:spacing w:after="0"/>
              <w:rPr>
                <w:sz w:val="20"/>
                <w:szCs w:val="20"/>
                <w:color w:val="auto"/>
              </w:rPr>
            </w:pPr>
            <w:r>
              <w:rPr>
                <w:rFonts w:ascii="Arial" w:cs="Arial" w:eastAsia="Arial" w:hAnsi="Arial"/>
                <w:sz w:val="10"/>
                <w:szCs w:val="10"/>
                <w:color w:val="auto"/>
                <w:w w:val="88"/>
              </w:rPr>
              <w:t>Indicate by check mark if the registrant is a well-known seasoned issuer, as defined in Rule 405 of the Securities Act.</w:t>
            </w:r>
          </w:p>
        </w:tc>
        <w:tc>
          <w:tcPr>
            <w:tcW w:w="360" w:type="dxa"/>
            <w:vAlign w:val="bottom"/>
          </w:tcPr>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tc>
        <w:tc>
          <w:tcPr>
            <w:tcW w:w="1160" w:type="dxa"/>
            <w:vAlign w:val="bottom"/>
          </w:tcPr>
          <w:p>
            <w:pPr>
              <w:ind w:left="2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r>
      <w:tr>
        <w:trPr>
          <w:trHeight w:val="149"/>
        </w:trPr>
        <w:tc>
          <w:tcPr>
            <w:tcW w:w="4600" w:type="dxa"/>
            <w:vAlign w:val="bottom"/>
            <w:gridSpan w:val="2"/>
          </w:tcPr>
          <w:p>
            <w:pPr>
              <w:spacing w:after="0"/>
              <w:rPr>
                <w:sz w:val="20"/>
                <w:szCs w:val="20"/>
                <w:color w:val="auto"/>
              </w:rPr>
            </w:pPr>
            <w:r>
              <w:rPr>
                <w:rFonts w:ascii="Arial" w:cs="Arial" w:eastAsia="Arial" w:hAnsi="Arial"/>
                <w:sz w:val="10"/>
                <w:szCs w:val="10"/>
                <w:color w:val="auto"/>
                <w:w w:val="87"/>
              </w:rPr>
              <w:t>Indicate by check mark if the registrant is not required to file reports pursuant to Section 13 or Section 15(d) of the Act.</w:t>
            </w:r>
          </w:p>
        </w:tc>
        <w:tc>
          <w:tcPr>
            <w:tcW w:w="360" w:type="dxa"/>
            <w:vAlign w:val="bottom"/>
          </w:tcPr>
          <w:p>
            <w:pPr>
              <w:ind w:left="80"/>
              <w:spacing w:after="0" w:line="115" w:lineRule="exact"/>
              <w:rPr>
                <w:sz w:val="20"/>
                <w:szCs w:val="20"/>
                <w:color w:val="auto"/>
              </w:rPr>
            </w:pPr>
            <w:r>
              <w:rPr>
                <w:rFonts w:ascii="Arial" w:cs="Arial" w:eastAsia="Arial" w:hAnsi="Arial"/>
                <w:sz w:val="10"/>
                <w:szCs w:val="10"/>
                <w:color w:val="auto"/>
                <w:w w:val="86"/>
              </w:rPr>
              <w:t xml:space="preserve">Yes </w:t>
            </w:r>
            <w:r>
              <w:rPr>
                <w:rFonts w:ascii="MS PGothic" w:cs="MS PGothic" w:eastAsia="MS PGothic" w:hAnsi="MS PGothic"/>
                <w:sz w:val="10"/>
                <w:szCs w:val="10"/>
                <w:color w:val="auto"/>
                <w:w w:val="86"/>
              </w:rPr>
              <w:t>☐</w:t>
            </w:r>
          </w:p>
        </w:tc>
        <w:tc>
          <w:tcPr>
            <w:tcW w:w="1160" w:type="dxa"/>
            <w:vAlign w:val="bottom"/>
          </w:tcPr>
          <w:p>
            <w:pPr>
              <w:ind w:left="10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r>
    </w:tbl>
    <w:p>
      <w:pPr>
        <w:spacing w:after="0" w:line="4" w:lineRule="exact"/>
        <w:rPr>
          <w:sz w:val="24"/>
          <w:szCs w:val="24"/>
          <w:color w:val="auto"/>
        </w:rPr>
      </w:pPr>
    </w:p>
    <w:p>
      <w:pPr>
        <w:ind w:left="8" w:right="160" w:firstLine="592"/>
        <w:spacing w:after="0" w:line="120"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8" w:right="120" w:firstLine="592"/>
        <w:spacing w:after="0" w:line="117"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4" w:lineRule="exact"/>
        <w:rPr>
          <w:sz w:val="24"/>
          <w:szCs w:val="24"/>
          <w:color w:val="auto"/>
        </w:rPr>
      </w:pPr>
    </w:p>
    <w:p>
      <w:pPr>
        <w:ind w:left="8" w:right="160" w:firstLine="592"/>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17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860" w:type="dxa"/>
            <w:vAlign w:val="bottom"/>
          </w:tcPr>
          <w:p>
            <w:pPr>
              <w:ind w:left="840"/>
              <w:spacing w:after="0" w:line="101" w:lineRule="exact"/>
              <w:rPr>
                <w:sz w:val="20"/>
                <w:szCs w:val="20"/>
                <w:color w:val="auto"/>
              </w:rPr>
            </w:pPr>
            <w:r>
              <w:rPr>
                <w:rFonts w:ascii="MS PGothic" w:cs="MS PGothic" w:eastAsia="MS PGothic" w:hAnsi="MS PGothic"/>
                <w:sz w:val="10"/>
                <w:szCs w:val="10"/>
                <w:color w:val="auto"/>
              </w:rPr>
              <w:t>☐</w:t>
            </w:r>
          </w:p>
        </w:tc>
        <w:tc>
          <w:tcPr>
            <w:tcW w:w="4720" w:type="dxa"/>
            <w:vAlign w:val="bottom"/>
          </w:tcPr>
          <w:p>
            <w:pPr>
              <w:ind w:left="2920"/>
              <w:spacing w:after="0"/>
              <w:rPr>
                <w:sz w:val="20"/>
                <w:szCs w:val="20"/>
                <w:color w:val="auto"/>
              </w:rPr>
            </w:pPr>
            <w:r>
              <w:rPr>
                <w:rFonts w:ascii="Arial" w:cs="Arial" w:eastAsia="Arial" w:hAnsi="Arial"/>
                <w:sz w:val="10"/>
                <w:szCs w:val="10"/>
                <w:color w:val="auto"/>
              </w:rPr>
              <w:t>Accelerated filer</w:t>
            </w:r>
          </w:p>
        </w:tc>
        <w:tc>
          <w:tcPr>
            <w:tcW w:w="820" w:type="dxa"/>
            <w:vAlign w:val="bottom"/>
          </w:tcPr>
          <w:p>
            <w:pPr>
              <w:ind w:left="740"/>
              <w:spacing w:after="0" w:line="81" w:lineRule="exact"/>
              <w:rPr>
                <w:sz w:val="20"/>
                <w:szCs w:val="20"/>
                <w:color w:val="auto"/>
              </w:rPr>
            </w:pPr>
            <w:r>
              <w:rPr>
                <w:rFonts w:ascii="MS PGothic" w:cs="MS PGothic" w:eastAsia="MS PGothic" w:hAnsi="MS PGothic"/>
                <w:sz w:val="8"/>
                <w:szCs w:val="8"/>
                <w:color w:val="auto"/>
                <w:w w:val="74"/>
              </w:rPr>
              <w:t>☐</w:t>
            </w:r>
          </w:p>
        </w:tc>
      </w:tr>
      <w:tr>
        <w:trPr>
          <w:trHeight w:val="126"/>
        </w:trPr>
        <w:tc>
          <w:tcPr>
            <w:tcW w:w="1700" w:type="dxa"/>
            <w:vAlign w:val="bottom"/>
          </w:tcPr>
          <w:p>
            <w:pPr>
              <w:spacing w:after="0"/>
              <w:rPr>
                <w:sz w:val="20"/>
                <w:szCs w:val="20"/>
                <w:color w:val="auto"/>
              </w:rPr>
            </w:pPr>
            <w:r>
              <w:rPr>
                <w:rFonts w:ascii="Arial" w:cs="Arial" w:eastAsia="Arial" w:hAnsi="Arial"/>
                <w:sz w:val="10"/>
                <w:szCs w:val="10"/>
                <w:color w:val="auto"/>
              </w:rPr>
              <w:t>Non-accelerated filer</w:t>
            </w:r>
          </w:p>
        </w:tc>
        <w:tc>
          <w:tcPr>
            <w:tcW w:w="3860" w:type="dxa"/>
            <w:vAlign w:val="bottom"/>
          </w:tcPr>
          <w:p>
            <w:pPr>
              <w:ind w:left="840"/>
              <w:spacing w:after="0" w:line="101" w:lineRule="exact"/>
              <w:rPr>
                <w:sz w:val="20"/>
                <w:szCs w:val="20"/>
                <w:color w:val="auto"/>
              </w:rPr>
            </w:pPr>
            <w:r>
              <w:rPr>
                <w:rFonts w:ascii="MS PGothic" w:cs="MS PGothic" w:eastAsia="MS PGothic" w:hAnsi="MS PGothic"/>
                <w:sz w:val="10"/>
                <w:szCs w:val="10"/>
                <w:color w:val="auto"/>
              </w:rPr>
              <w:t>☒</w:t>
            </w:r>
          </w:p>
        </w:tc>
        <w:tc>
          <w:tcPr>
            <w:tcW w:w="4720" w:type="dxa"/>
            <w:vAlign w:val="bottom"/>
          </w:tcPr>
          <w:p>
            <w:pPr>
              <w:ind w:left="2920"/>
              <w:spacing w:after="0"/>
              <w:rPr>
                <w:sz w:val="20"/>
                <w:szCs w:val="20"/>
                <w:color w:val="auto"/>
              </w:rPr>
            </w:pPr>
            <w:r>
              <w:rPr>
                <w:rFonts w:ascii="Arial" w:cs="Arial" w:eastAsia="Arial" w:hAnsi="Arial"/>
                <w:sz w:val="10"/>
                <w:szCs w:val="10"/>
                <w:color w:val="auto"/>
              </w:rPr>
              <w:t>Smaller reporting company</w:t>
            </w:r>
          </w:p>
        </w:tc>
        <w:tc>
          <w:tcPr>
            <w:tcW w:w="820" w:type="dxa"/>
            <w:vAlign w:val="bottom"/>
          </w:tcPr>
          <w:p>
            <w:pPr>
              <w:ind w:left="740"/>
              <w:spacing w:after="0" w:line="81" w:lineRule="exact"/>
              <w:rPr>
                <w:sz w:val="20"/>
                <w:szCs w:val="20"/>
                <w:color w:val="auto"/>
              </w:rPr>
            </w:pPr>
            <w:r>
              <w:rPr>
                <w:rFonts w:ascii="MS PGothic" w:cs="MS PGothic" w:eastAsia="MS PGothic" w:hAnsi="MS PGothic"/>
                <w:sz w:val="8"/>
                <w:szCs w:val="8"/>
                <w:color w:val="auto"/>
                <w:w w:val="74"/>
              </w:rPr>
              <w:t>☒</w:t>
            </w:r>
          </w:p>
        </w:tc>
      </w:tr>
      <w:tr>
        <w:trPr>
          <w:trHeight w:val="149"/>
        </w:trPr>
        <w:tc>
          <w:tcPr>
            <w:tcW w:w="17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720" w:type="dxa"/>
            <w:vAlign w:val="bottom"/>
          </w:tcPr>
          <w:p>
            <w:pPr>
              <w:ind w:left="2920"/>
              <w:spacing w:after="0"/>
              <w:rPr>
                <w:sz w:val="20"/>
                <w:szCs w:val="20"/>
                <w:color w:val="auto"/>
              </w:rPr>
            </w:pPr>
            <w:r>
              <w:rPr>
                <w:rFonts w:ascii="Arial" w:cs="Arial" w:eastAsia="Arial" w:hAnsi="Arial"/>
                <w:sz w:val="10"/>
                <w:szCs w:val="10"/>
                <w:color w:val="auto"/>
              </w:rPr>
              <w:t>Emerging growth company</w:t>
            </w:r>
          </w:p>
        </w:tc>
        <w:tc>
          <w:tcPr>
            <w:tcW w:w="820" w:type="dxa"/>
            <w:vAlign w:val="bottom"/>
          </w:tcPr>
          <w:p>
            <w:pPr>
              <w:ind w:left="74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3" w:lineRule="exact"/>
        <w:rPr>
          <w:sz w:val="24"/>
          <w:szCs w:val="24"/>
          <w:color w:val="auto"/>
        </w:rPr>
      </w:pPr>
    </w:p>
    <w:p>
      <w:pPr>
        <w:ind w:left="588"/>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61" w:lineRule="exact"/>
        <w:rPr>
          <w:sz w:val="24"/>
          <w:szCs w:val="24"/>
          <w:color w:val="auto"/>
        </w:rPr>
      </w:pPr>
    </w:p>
    <w:p>
      <w:pPr>
        <w:jc w:val="both"/>
        <w:ind w:left="8" w:right="220" w:firstLine="592"/>
        <w:spacing w:after="0" w:line="120"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 w:lineRule="exact"/>
        <w:rPr>
          <w:sz w:val="24"/>
          <w:szCs w:val="24"/>
          <w:color w:val="auto"/>
        </w:rPr>
      </w:pPr>
    </w:p>
    <w:p>
      <w:pPr>
        <w:ind w:left="588"/>
        <w:spacing w:after="0" w:line="115" w:lineRule="exact"/>
        <w:tabs>
          <w:tab w:leader="none" w:pos="4628" w:val="left"/>
          <w:tab w:leader="none" w:pos="5008" w:val="left"/>
        </w:tabs>
        <w:rPr>
          <w:sz w:val="20"/>
          <w:szCs w:val="20"/>
          <w:color w:val="auto"/>
        </w:rPr>
      </w:pPr>
      <w:r>
        <w:rPr>
          <w:rFonts w:ascii="Arial" w:cs="Arial" w:eastAsia="Arial" w:hAnsi="Arial"/>
          <w:sz w:val="8"/>
          <w:szCs w:val="8"/>
          <w:color w:val="auto"/>
        </w:rPr>
        <w:t>Indicate by check mark whether the registrant is a shell company (as defined in Rule 12b-2 of the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29" w:lineRule="exact"/>
        <w:rPr>
          <w:sz w:val="24"/>
          <w:szCs w:val="24"/>
          <w:color w:val="auto"/>
        </w:rPr>
      </w:pPr>
    </w:p>
    <w:p>
      <w:pPr>
        <w:ind w:left="8" w:right="20" w:firstLine="592"/>
        <w:spacing w:after="0" w:line="224" w:lineRule="auto"/>
        <w:rPr>
          <w:sz w:val="20"/>
          <w:szCs w:val="20"/>
          <w:color w:val="auto"/>
        </w:rPr>
      </w:pPr>
      <w:r>
        <w:rPr>
          <w:rFonts w:ascii="Arial" w:cs="Arial" w:eastAsia="Arial" w:hAnsi="Arial"/>
          <w:sz w:val="10"/>
          <w:szCs w:val="10"/>
          <w:color w:val="auto"/>
        </w:rPr>
        <w:t>The aggregate market value of stock held by non-affiliates of the registrant on June 30, 2020, based on the closing price of $2.22 for shares of the registrant’s common stock as reported by the NASDAQ Capital Market, was approximately $98.3 million. Shares of Common Stock held by each executive officer, director and beneficial holder of 5% or more of the outstanding Common Stock have been excluded in that such persons may be deemed affiliates.</w:t>
      </w:r>
    </w:p>
    <w:p>
      <w:pPr>
        <w:spacing w:after="0" w:line="5" w:lineRule="exact"/>
        <w:rPr>
          <w:sz w:val="24"/>
          <w:szCs w:val="24"/>
          <w:color w:val="auto"/>
        </w:rPr>
      </w:pPr>
    </w:p>
    <w:p>
      <w:pPr>
        <w:ind w:left="588"/>
        <w:spacing w:after="0"/>
        <w:rPr>
          <w:sz w:val="20"/>
          <w:szCs w:val="20"/>
          <w:color w:val="auto"/>
        </w:rPr>
      </w:pPr>
      <w:r>
        <w:rPr>
          <w:rFonts w:ascii="Arial" w:cs="Arial" w:eastAsia="Arial" w:hAnsi="Arial"/>
          <w:sz w:val="10"/>
          <w:szCs w:val="10"/>
          <w:color w:val="auto"/>
        </w:rPr>
        <w:t>As of February 26, 2021 there were 79,723,680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2914650</wp:posOffset>
            </wp:positionH>
            <wp:positionV relativeFrom="paragraph">
              <wp:posOffset>26035</wp:posOffset>
            </wp:positionV>
            <wp:extent cx="1348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34" w:lineRule="exact"/>
        <w:rPr>
          <w:sz w:val="24"/>
          <w:szCs w:val="24"/>
          <w:color w:val="auto"/>
        </w:rPr>
      </w:pPr>
    </w:p>
    <w:p>
      <w:pPr>
        <w:ind w:left="4548"/>
        <w:spacing w:after="0"/>
        <w:rPr>
          <w:sz w:val="20"/>
          <w:szCs w:val="20"/>
          <w:color w:val="auto"/>
        </w:rPr>
      </w:pPr>
      <w:r>
        <w:rPr>
          <w:rFonts w:ascii="Arial" w:cs="Arial" w:eastAsia="Arial" w:hAnsi="Arial"/>
          <w:sz w:val="10"/>
          <w:szCs w:val="10"/>
          <w:b w:val="1"/>
          <w:bCs w:val="1"/>
          <w:color w:val="auto"/>
        </w:rPr>
        <w:t>DOCUMENTS INCORPORATED BY REFERENCE</w:t>
      </w:r>
    </w:p>
    <w:p>
      <w:pPr>
        <w:spacing w:after="0" w:line="13" w:lineRule="exact"/>
        <w:rPr>
          <w:sz w:val="24"/>
          <w:szCs w:val="24"/>
          <w:color w:val="auto"/>
        </w:rPr>
      </w:pPr>
    </w:p>
    <w:p>
      <w:pPr>
        <w:ind w:left="8" w:right="140" w:firstLine="592"/>
        <w:spacing w:after="0" w:line="222" w:lineRule="auto"/>
        <w:rPr>
          <w:sz w:val="20"/>
          <w:szCs w:val="20"/>
          <w:color w:val="auto"/>
        </w:rPr>
      </w:pPr>
      <w:r>
        <w:rPr>
          <w:rFonts w:ascii="Arial" w:cs="Arial" w:eastAsia="Arial" w:hAnsi="Arial"/>
          <w:sz w:val="10"/>
          <w:szCs w:val="10"/>
          <w:color w:val="auto"/>
        </w:rPr>
        <w:t>Portions of the registrant’s Definitive Proxy Statement to be filed with the Commission pursuant to Regulation 14A in connection with the registrant’s 2021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2020.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718947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06"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820" w:type="dxa"/>
            <w:vAlign w:val="bottom"/>
          </w:tcPr>
          <w:p>
            <w:pPr>
              <w:spacing w:after="0"/>
              <w:rPr>
                <w:sz w:val="12"/>
                <w:szCs w:val="12"/>
                <w:color w:val="auto"/>
              </w:rPr>
            </w:pPr>
          </w:p>
        </w:tc>
        <w:tc>
          <w:tcPr>
            <w:tcW w:w="8100" w:type="dxa"/>
            <w:vAlign w:val="bottom"/>
          </w:tcPr>
          <w:p>
            <w:pPr>
              <w:jc w:val="center"/>
              <w:ind w:left="1500"/>
              <w:spacing w:after="0"/>
              <w:rPr>
                <w:sz w:val="20"/>
                <w:szCs w:val="20"/>
                <w:color w:val="auto"/>
              </w:rPr>
            </w:pPr>
            <w:r>
              <w:rPr>
                <w:rFonts w:ascii="Arial" w:cs="Arial" w:eastAsia="Arial" w:hAnsi="Arial"/>
                <w:sz w:val="12"/>
                <w:szCs w:val="12"/>
                <w:b w:val="1"/>
                <w:bCs w:val="1"/>
                <w:color w:val="auto"/>
                <w:w w:val="89"/>
              </w:rPr>
              <w:t>Soleno Therapeutics, Inc.</w:t>
            </w:r>
          </w:p>
        </w:tc>
        <w:tc>
          <w:tcPr>
            <w:tcW w:w="2400" w:type="dxa"/>
            <w:vAlign w:val="bottom"/>
          </w:tcPr>
          <w:p>
            <w:pPr>
              <w:spacing w:after="0"/>
              <w:rPr>
                <w:sz w:val="12"/>
                <w:szCs w:val="12"/>
                <w:color w:val="auto"/>
              </w:rPr>
            </w:pPr>
          </w:p>
        </w:tc>
      </w:tr>
      <w:tr>
        <w:trPr>
          <w:trHeight w:val="144"/>
        </w:trPr>
        <w:tc>
          <w:tcPr>
            <w:tcW w:w="820" w:type="dxa"/>
            <w:vAlign w:val="bottom"/>
          </w:tcPr>
          <w:p>
            <w:pPr>
              <w:spacing w:after="0"/>
              <w:rPr>
                <w:sz w:val="12"/>
                <w:szCs w:val="12"/>
                <w:color w:val="auto"/>
              </w:rPr>
            </w:pPr>
          </w:p>
        </w:tc>
        <w:tc>
          <w:tcPr>
            <w:tcW w:w="8100" w:type="dxa"/>
            <w:vAlign w:val="bottom"/>
          </w:tcPr>
          <w:p>
            <w:pPr>
              <w:jc w:val="center"/>
              <w:ind w:left="1480"/>
              <w:spacing w:after="0"/>
              <w:rPr>
                <w:sz w:val="20"/>
                <w:szCs w:val="20"/>
                <w:color w:val="auto"/>
              </w:rPr>
            </w:pPr>
            <w:r>
              <w:rPr>
                <w:rFonts w:ascii="Arial" w:cs="Arial" w:eastAsia="Arial" w:hAnsi="Arial"/>
                <w:sz w:val="12"/>
                <w:szCs w:val="12"/>
                <w:b w:val="1"/>
                <w:bCs w:val="1"/>
                <w:color w:val="auto"/>
                <w:w w:val="93"/>
              </w:rPr>
              <w:t>Annual Report on Form 10-K</w:t>
            </w:r>
          </w:p>
        </w:tc>
        <w:tc>
          <w:tcPr>
            <w:tcW w:w="2400" w:type="dxa"/>
            <w:vAlign w:val="bottom"/>
          </w:tcPr>
          <w:p>
            <w:pPr>
              <w:spacing w:after="0"/>
              <w:rPr>
                <w:sz w:val="12"/>
                <w:szCs w:val="12"/>
                <w:color w:val="auto"/>
              </w:rPr>
            </w:pPr>
          </w:p>
        </w:tc>
      </w:tr>
      <w:tr>
        <w:trPr>
          <w:trHeight w:val="157"/>
        </w:trPr>
        <w:tc>
          <w:tcPr>
            <w:tcW w:w="820" w:type="dxa"/>
            <w:vAlign w:val="bottom"/>
          </w:tcPr>
          <w:p>
            <w:pPr>
              <w:spacing w:after="0"/>
              <w:rPr>
                <w:sz w:val="13"/>
                <w:szCs w:val="13"/>
                <w:color w:val="auto"/>
              </w:rPr>
            </w:pPr>
          </w:p>
        </w:tc>
        <w:tc>
          <w:tcPr>
            <w:tcW w:w="8100" w:type="dxa"/>
            <w:vAlign w:val="bottom"/>
          </w:tcPr>
          <w:p>
            <w:pPr>
              <w:jc w:val="center"/>
              <w:ind w:left="1480"/>
              <w:spacing w:after="0"/>
              <w:rPr>
                <w:sz w:val="20"/>
                <w:szCs w:val="20"/>
                <w:color w:val="auto"/>
              </w:rPr>
            </w:pPr>
            <w:r>
              <w:rPr>
                <w:rFonts w:ascii="Arial" w:cs="Arial" w:eastAsia="Arial" w:hAnsi="Arial"/>
                <w:sz w:val="12"/>
                <w:szCs w:val="12"/>
                <w:b w:val="1"/>
                <w:bCs w:val="1"/>
                <w:color w:val="auto"/>
                <w:w w:val="90"/>
              </w:rPr>
              <w:t>For the Year Ended December 31, 2020</w:t>
            </w:r>
          </w:p>
        </w:tc>
        <w:tc>
          <w:tcPr>
            <w:tcW w:w="2400" w:type="dxa"/>
            <w:vAlign w:val="bottom"/>
          </w:tcPr>
          <w:p>
            <w:pPr>
              <w:spacing w:after="0"/>
              <w:rPr>
                <w:sz w:val="13"/>
                <w:szCs w:val="13"/>
                <w:color w:val="auto"/>
              </w:rPr>
            </w:pPr>
          </w:p>
        </w:tc>
      </w:tr>
      <w:tr>
        <w:trPr>
          <w:trHeight w:val="288"/>
        </w:trPr>
        <w:tc>
          <w:tcPr>
            <w:tcW w:w="820" w:type="dxa"/>
            <w:vAlign w:val="bottom"/>
          </w:tcPr>
          <w:p>
            <w:pPr>
              <w:spacing w:after="0"/>
              <w:rPr>
                <w:sz w:val="24"/>
                <w:szCs w:val="24"/>
                <w:color w:val="auto"/>
              </w:rPr>
            </w:pPr>
          </w:p>
        </w:tc>
        <w:tc>
          <w:tcPr>
            <w:tcW w:w="8100" w:type="dxa"/>
            <w:vAlign w:val="bottom"/>
          </w:tcPr>
          <w:p>
            <w:pPr>
              <w:jc w:val="center"/>
              <w:ind w:left="1500"/>
              <w:spacing w:after="0"/>
              <w:rPr>
                <w:sz w:val="20"/>
                <w:szCs w:val="20"/>
                <w:color w:val="auto"/>
              </w:rPr>
            </w:pPr>
            <w:r>
              <w:rPr>
                <w:rFonts w:ascii="Arial" w:cs="Arial" w:eastAsia="Arial" w:hAnsi="Arial"/>
                <w:sz w:val="12"/>
                <w:szCs w:val="12"/>
                <w:b w:val="1"/>
                <w:bCs w:val="1"/>
                <w:color w:val="auto"/>
              </w:rPr>
              <w:t>INDEX</w:t>
            </w:r>
          </w:p>
        </w:tc>
        <w:tc>
          <w:tcPr>
            <w:tcW w:w="2400" w:type="dxa"/>
            <w:vAlign w:val="bottom"/>
          </w:tcPr>
          <w:p>
            <w:pPr>
              <w:spacing w:after="0"/>
              <w:rPr>
                <w:sz w:val="24"/>
                <w:szCs w:val="24"/>
                <w:color w:val="auto"/>
              </w:rPr>
            </w:pPr>
          </w:p>
        </w:tc>
      </w:tr>
      <w:tr>
        <w:trPr>
          <w:trHeight w:val="297"/>
        </w:trPr>
        <w:tc>
          <w:tcPr>
            <w:tcW w:w="820" w:type="dxa"/>
            <w:vAlign w:val="bottom"/>
          </w:tcPr>
          <w:p>
            <w:pPr>
              <w:spacing w:after="0"/>
              <w:rPr>
                <w:sz w:val="24"/>
                <w:szCs w:val="24"/>
                <w:color w:val="auto"/>
              </w:rPr>
            </w:pPr>
          </w:p>
        </w:tc>
        <w:tc>
          <w:tcPr>
            <w:tcW w:w="8100" w:type="dxa"/>
            <w:vAlign w:val="bottom"/>
          </w:tcPr>
          <w:p>
            <w:pPr>
              <w:jc w:val="center"/>
              <w:ind w:left="1540"/>
              <w:spacing w:after="0"/>
              <w:rPr>
                <w:rFonts w:ascii="Arial" w:cs="Arial" w:eastAsia="Arial" w:hAnsi="Arial"/>
                <w:sz w:val="12"/>
                <w:szCs w:val="12"/>
                <w:b w:val="1"/>
                <w:bCs w:val="1"/>
                <w:u w:val="single" w:color="auto"/>
                <w:color w:val="0000EE"/>
                <w:w w:val="96"/>
              </w:rPr>
            </w:pPr>
            <w:hyperlink w:anchor="page4">
              <w:r>
                <w:rPr>
                  <w:rFonts w:ascii="Arial" w:cs="Arial" w:eastAsia="Arial" w:hAnsi="Arial"/>
                  <w:sz w:val="12"/>
                  <w:szCs w:val="12"/>
                  <w:b w:val="1"/>
                  <w:bCs w:val="1"/>
                  <w:u w:val="single" w:color="auto"/>
                  <w:color w:val="0000EE"/>
                  <w:w w:val="96"/>
                </w:rPr>
                <w:t>PART I</w:t>
              </w:r>
            </w:hyperlink>
          </w:p>
        </w:tc>
        <w:tc>
          <w:tcPr>
            <w:tcW w:w="2400" w:type="dxa"/>
            <w:vAlign w:val="bottom"/>
          </w:tcPr>
          <w:p>
            <w:pPr>
              <w:spacing w:after="0"/>
              <w:rPr>
                <w:sz w:val="24"/>
                <w:szCs w:val="24"/>
                <w:color w:val="auto"/>
              </w:rPr>
            </w:pP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Item 1</w:t>
            </w:r>
          </w:p>
        </w:tc>
        <w:tc>
          <w:tcPr>
            <w:tcW w:w="8100" w:type="dxa"/>
            <w:vAlign w:val="bottom"/>
          </w:tcPr>
          <w:p>
            <w:pPr>
              <w:ind w:left="30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Business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1A</w:t>
            </w:r>
          </w:p>
        </w:tc>
        <w:tc>
          <w:tcPr>
            <w:tcW w:w="8100" w:type="dxa"/>
            <w:vAlign w:val="bottom"/>
          </w:tcPr>
          <w:p>
            <w:pPr>
              <w:ind w:left="300"/>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Risk Factors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1B</w:t>
            </w:r>
          </w:p>
        </w:tc>
        <w:tc>
          <w:tcPr>
            <w:tcW w:w="8100" w:type="dxa"/>
            <w:vAlign w:val="bottom"/>
          </w:tcPr>
          <w:p>
            <w:pPr>
              <w:ind w:left="300"/>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Unresolved Staff Comments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2</w:t>
            </w:r>
          </w:p>
        </w:tc>
        <w:tc>
          <w:tcPr>
            <w:tcW w:w="8100" w:type="dxa"/>
            <w:vAlign w:val="bottom"/>
          </w:tcPr>
          <w:p>
            <w:pPr>
              <w:ind w:left="300"/>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Properties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3</w:t>
            </w:r>
          </w:p>
        </w:tc>
        <w:tc>
          <w:tcPr>
            <w:tcW w:w="8100" w:type="dxa"/>
            <w:vAlign w:val="bottom"/>
          </w:tcPr>
          <w:p>
            <w:pPr>
              <w:ind w:left="300"/>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Legal Proceedings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4</w:t>
            </w:r>
          </w:p>
        </w:tc>
        <w:tc>
          <w:tcPr>
            <w:tcW w:w="8100" w:type="dxa"/>
            <w:vAlign w:val="bottom"/>
          </w:tcPr>
          <w:p>
            <w:pPr>
              <w:ind w:left="300"/>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Mine Safety Disclosures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25"/>
        </w:trPr>
        <w:tc>
          <w:tcPr>
            <w:tcW w:w="820" w:type="dxa"/>
            <w:vAlign w:val="bottom"/>
          </w:tcPr>
          <w:p>
            <w:pPr>
              <w:spacing w:after="0"/>
              <w:rPr>
                <w:sz w:val="19"/>
                <w:szCs w:val="19"/>
                <w:color w:val="auto"/>
              </w:rPr>
            </w:pPr>
          </w:p>
        </w:tc>
        <w:tc>
          <w:tcPr>
            <w:tcW w:w="8100" w:type="dxa"/>
            <w:vAlign w:val="bottom"/>
          </w:tcPr>
          <w:p>
            <w:pPr>
              <w:jc w:val="center"/>
              <w:ind w:left="1560"/>
              <w:spacing w:after="0"/>
              <w:rPr>
                <w:rFonts w:ascii="Arial" w:cs="Arial" w:eastAsia="Arial" w:hAnsi="Arial"/>
                <w:sz w:val="12"/>
                <w:szCs w:val="12"/>
                <w:b w:val="1"/>
                <w:bCs w:val="1"/>
                <w:u w:val="single" w:color="auto"/>
                <w:color w:val="0000EE"/>
              </w:rPr>
            </w:pPr>
            <w:hyperlink w:anchor="page53">
              <w:r>
                <w:rPr>
                  <w:rFonts w:ascii="Arial" w:cs="Arial" w:eastAsia="Arial" w:hAnsi="Arial"/>
                  <w:sz w:val="12"/>
                  <w:szCs w:val="12"/>
                  <w:b w:val="1"/>
                  <w:bCs w:val="1"/>
                  <w:u w:val="single" w:color="auto"/>
                  <w:color w:val="0000EE"/>
                </w:rPr>
                <w:t>PART II</w:t>
              </w:r>
            </w:hyperlink>
          </w:p>
        </w:tc>
        <w:tc>
          <w:tcPr>
            <w:tcW w:w="2400" w:type="dxa"/>
            <w:vAlign w:val="bottom"/>
          </w:tcPr>
          <w:p>
            <w:pPr>
              <w:spacing w:after="0"/>
              <w:rPr>
                <w:sz w:val="19"/>
                <w:szCs w:val="19"/>
                <w:color w:val="auto"/>
              </w:rPr>
            </w:pP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5</w:t>
            </w:r>
          </w:p>
        </w:tc>
        <w:tc>
          <w:tcPr>
            <w:tcW w:w="8100" w:type="dxa"/>
            <w:vAlign w:val="bottom"/>
          </w:tcPr>
          <w:p>
            <w:pPr>
              <w:ind w:left="300"/>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Market for Registrant’s Common Equity, Related Stockholder Matters and Issuer Purchases of Equity Securities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6</w:t>
            </w:r>
          </w:p>
        </w:tc>
        <w:tc>
          <w:tcPr>
            <w:tcW w:w="8100" w:type="dxa"/>
            <w:vAlign w:val="bottom"/>
          </w:tcPr>
          <w:p>
            <w:pPr>
              <w:ind w:left="300"/>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Selected Financial Data</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7</w:t>
            </w:r>
          </w:p>
        </w:tc>
        <w:tc>
          <w:tcPr>
            <w:tcW w:w="8100" w:type="dxa"/>
            <w:vAlign w:val="bottom"/>
          </w:tcPr>
          <w:p>
            <w:pPr>
              <w:ind w:left="300"/>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Management’s Discussion and Analysis of Financial Condition and Results of Operation</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7A</w:t>
            </w:r>
          </w:p>
        </w:tc>
        <w:tc>
          <w:tcPr>
            <w:tcW w:w="8100" w:type="dxa"/>
            <w:vAlign w:val="bottom"/>
          </w:tcPr>
          <w:p>
            <w:pPr>
              <w:ind w:left="300"/>
              <w:spacing w:after="0"/>
              <w:rPr>
                <w:rFonts w:ascii="Arial" w:cs="Arial" w:eastAsia="Arial" w:hAnsi="Arial"/>
                <w:sz w:val="12"/>
                <w:szCs w:val="12"/>
                <w:u w:val="single" w:color="auto"/>
                <w:color w:val="0000EE"/>
              </w:rPr>
            </w:pPr>
            <w:hyperlink w:anchor="page61">
              <w:r>
                <w:rPr>
                  <w:rFonts w:ascii="Arial" w:cs="Arial" w:eastAsia="Arial" w:hAnsi="Arial"/>
                  <w:sz w:val="12"/>
                  <w:szCs w:val="12"/>
                  <w:u w:val="single" w:color="auto"/>
                  <w:color w:val="0000EE"/>
                </w:rPr>
                <w:t>Quantitative and Qualitative Disclosures About Market Risk</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8</w:t>
            </w:r>
          </w:p>
        </w:tc>
        <w:tc>
          <w:tcPr>
            <w:tcW w:w="8100" w:type="dxa"/>
            <w:vAlign w:val="bottom"/>
          </w:tcPr>
          <w:p>
            <w:pPr>
              <w:ind w:left="300"/>
              <w:spacing w:after="0"/>
              <w:rPr>
                <w:rFonts w:ascii="Arial" w:cs="Arial" w:eastAsia="Arial" w:hAnsi="Arial"/>
                <w:sz w:val="12"/>
                <w:szCs w:val="12"/>
                <w:u w:val="single" w:color="auto"/>
                <w:color w:val="0000EE"/>
              </w:rPr>
            </w:pPr>
            <w:hyperlink w:anchor="page62">
              <w:r>
                <w:rPr>
                  <w:rFonts w:ascii="Arial" w:cs="Arial" w:eastAsia="Arial" w:hAnsi="Arial"/>
                  <w:sz w:val="12"/>
                  <w:szCs w:val="12"/>
                  <w:u w:val="single" w:color="auto"/>
                  <w:color w:val="0000EE"/>
                </w:rPr>
                <w:t>Financial Statements and Supplementary Data</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9</w:t>
            </w:r>
          </w:p>
        </w:tc>
        <w:tc>
          <w:tcPr>
            <w:tcW w:w="8100" w:type="dxa"/>
            <w:vAlign w:val="bottom"/>
          </w:tcPr>
          <w:p>
            <w:pPr>
              <w:ind w:left="300"/>
              <w:spacing w:after="0"/>
              <w:rPr>
                <w:rFonts w:ascii="Arial" w:cs="Arial" w:eastAsia="Arial" w:hAnsi="Arial"/>
                <w:sz w:val="12"/>
                <w:szCs w:val="12"/>
                <w:u w:val="single" w:color="auto"/>
                <w:color w:val="0000EE"/>
              </w:rPr>
            </w:pPr>
            <w:hyperlink w:anchor="page89">
              <w:r>
                <w:rPr>
                  <w:rFonts w:ascii="Arial" w:cs="Arial" w:eastAsia="Arial" w:hAnsi="Arial"/>
                  <w:sz w:val="12"/>
                  <w:szCs w:val="12"/>
                  <w:u w:val="single" w:color="auto"/>
                  <w:color w:val="0000EE"/>
                </w:rPr>
                <w:t>Changes in and Disagreements with Accountants on Accounting and Financial Disclosure</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9A</w:t>
            </w:r>
          </w:p>
        </w:tc>
        <w:tc>
          <w:tcPr>
            <w:tcW w:w="8100" w:type="dxa"/>
            <w:vAlign w:val="bottom"/>
          </w:tcPr>
          <w:p>
            <w:pPr>
              <w:ind w:left="300"/>
              <w:spacing w:after="0"/>
              <w:rPr>
                <w:rFonts w:ascii="Arial" w:cs="Arial" w:eastAsia="Arial" w:hAnsi="Arial"/>
                <w:sz w:val="12"/>
                <w:szCs w:val="12"/>
                <w:u w:val="single" w:color="auto"/>
                <w:color w:val="0000EE"/>
              </w:rPr>
            </w:pPr>
            <w:hyperlink w:anchor="page89">
              <w:r>
                <w:rPr>
                  <w:rFonts w:ascii="Arial" w:cs="Arial" w:eastAsia="Arial" w:hAnsi="Arial"/>
                  <w:sz w:val="12"/>
                  <w:szCs w:val="12"/>
                  <w:u w:val="single" w:color="auto"/>
                  <w:color w:val="0000EE"/>
                </w:rPr>
                <w:t>Controls and Procedures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9B</w:t>
            </w:r>
          </w:p>
        </w:tc>
        <w:tc>
          <w:tcPr>
            <w:tcW w:w="8100" w:type="dxa"/>
            <w:vAlign w:val="bottom"/>
          </w:tcPr>
          <w:p>
            <w:pPr>
              <w:ind w:left="300"/>
              <w:spacing w:after="0"/>
              <w:rPr>
                <w:rFonts w:ascii="Arial" w:cs="Arial" w:eastAsia="Arial" w:hAnsi="Arial"/>
                <w:sz w:val="12"/>
                <w:szCs w:val="12"/>
                <w:u w:val="single" w:color="auto"/>
                <w:color w:val="0000EE"/>
              </w:rPr>
            </w:pPr>
            <w:hyperlink w:anchor="page89">
              <w:r>
                <w:rPr>
                  <w:rFonts w:ascii="Arial" w:cs="Arial" w:eastAsia="Arial" w:hAnsi="Arial"/>
                  <w:sz w:val="12"/>
                  <w:szCs w:val="12"/>
                  <w:u w:val="single" w:color="auto"/>
                  <w:color w:val="0000EE"/>
                </w:rPr>
                <w:t>Other Information</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25"/>
        </w:trPr>
        <w:tc>
          <w:tcPr>
            <w:tcW w:w="820" w:type="dxa"/>
            <w:vAlign w:val="bottom"/>
          </w:tcPr>
          <w:p>
            <w:pPr>
              <w:spacing w:after="0"/>
              <w:rPr>
                <w:sz w:val="19"/>
                <w:szCs w:val="19"/>
                <w:color w:val="auto"/>
              </w:rPr>
            </w:pPr>
          </w:p>
        </w:tc>
        <w:tc>
          <w:tcPr>
            <w:tcW w:w="8100" w:type="dxa"/>
            <w:vAlign w:val="bottom"/>
          </w:tcPr>
          <w:p>
            <w:pPr>
              <w:jc w:val="center"/>
              <w:ind w:left="1560"/>
              <w:spacing w:after="0"/>
              <w:rPr>
                <w:rFonts w:ascii="Arial" w:cs="Arial" w:eastAsia="Arial" w:hAnsi="Arial"/>
                <w:sz w:val="12"/>
                <w:szCs w:val="12"/>
                <w:b w:val="1"/>
                <w:bCs w:val="1"/>
                <w:u w:val="single" w:color="auto"/>
                <w:color w:val="0000EE"/>
              </w:rPr>
            </w:pPr>
            <w:hyperlink w:anchor="page90">
              <w:r>
                <w:rPr>
                  <w:rFonts w:ascii="Arial" w:cs="Arial" w:eastAsia="Arial" w:hAnsi="Arial"/>
                  <w:sz w:val="12"/>
                  <w:szCs w:val="12"/>
                  <w:b w:val="1"/>
                  <w:bCs w:val="1"/>
                  <w:u w:val="single" w:color="auto"/>
                  <w:color w:val="0000EE"/>
                </w:rPr>
                <w:t>PART III</w:t>
              </w:r>
            </w:hyperlink>
          </w:p>
        </w:tc>
        <w:tc>
          <w:tcPr>
            <w:tcW w:w="2400" w:type="dxa"/>
            <w:vAlign w:val="bottom"/>
          </w:tcPr>
          <w:p>
            <w:pPr>
              <w:spacing w:after="0"/>
              <w:rPr>
                <w:sz w:val="19"/>
                <w:szCs w:val="19"/>
                <w:color w:val="auto"/>
              </w:rPr>
            </w:pP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10</w:t>
            </w:r>
          </w:p>
        </w:tc>
        <w:tc>
          <w:tcPr>
            <w:tcW w:w="8100" w:type="dxa"/>
            <w:vAlign w:val="bottom"/>
          </w:tcPr>
          <w:p>
            <w:pPr>
              <w:ind w:left="30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Directors, Executive Officers and Corporate Governance</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11</w:t>
            </w:r>
          </w:p>
        </w:tc>
        <w:tc>
          <w:tcPr>
            <w:tcW w:w="8100" w:type="dxa"/>
            <w:vAlign w:val="bottom"/>
          </w:tcPr>
          <w:p>
            <w:pPr>
              <w:ind w:left="30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Executive Compensation</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12</w:t>
            </w:r>
          </w:p>
        </w:tc>
        <w:tc>
          <w:tcPr>
            <w:tcW w:w="8100" w:type="dxa"/>
            <w:vAlign w:val="bottom"/>
          </w:tcPr>
          <w:p>
            <w:pPr>
              <w:ind w:left="30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Security Ownership of Certain Beneficial Owners and Management and Related Stockholder Matters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13</w:t>
            </w:r>
          </w:p>
        </w:tc>
        <w:tc>
          <w:tcPr>
            <w:tcW w:w="8100" w:type="dxa"/>
            <w:vAlign w:val="bottom"/>
          </w:tcPr>
          <w:p>
            <w:pPr>
              <w:ind w:left="30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Certain Relationships and Related Transactions, and Director Independence</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14</w:t>
            </w:r>
          </w:p>
        </w:tc>
        <w:tc>
          <w:tcPr>
            <w:tcW w:w="8100" w:type="dxa"/>
            <w:vAlign w:val="bottom"/>
          </w:tcPr>
          <w:p>
            <w:pPr>
              <w:ind w:left="30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Principal Accounting Fees and Services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88"/>
        </w:trPr>
        <w:tc>
          <w:tcPr>
            <w:tcW w:w="820" w:type="dxa"/>
            <w:vAlign w:val="bottom"/>
          </w:tcPr>
          <w:p>
            <w:pPr>
              <w:spacing w:after="0"/>
              <w:rPr>
                <w:sz w:val="24"/>
                <w:szCs w:val="24"/>
                <w:color w:val="auto"/>
              </w:rPr>
            </w:pPr>
          </w:p>
        </w:tc>
        <w:tc>
          <w:tcPr>
            <w:tcW w:w="8100" w:type="dxa"/>
            <w:vAlign w:val="bottom"/>
          </w:tcPr>
          <w:p>
            <w:pPr>
              <w:jc w:val="center"/>
              <w:ind w:left="1560"/>
              <w:spacing w:after="0"/>
              <w:rPr>
                <w:rFonts w:ascii="Arial" w:cs="Arial" w:eastAsia="Arial" w:hAnsi="Arial"/>
                <w:sz w:val="12"/>
                <w:szCs w:val="12"/>
                <w:b w:val="1"/>
                <w:bCs w:val="1"/>
                <w:u w:val="single" w:color="auto"/>
                <w:color w:val="0000EE"/>
              </w:rPr>
            </w:pPr>
            <w:hyperlink w:anchor="page91">
              <w:r>
                <w:rPr>
                  <w:rFonts w:ascii="Arial" w:cs="Arial" w:eastAsia="Arial" w:hAnsi="Arial"/>
                  <w:sz w:val="12"/>
                  <w:szCs w:val="12"/>
                  <w:b w:val="1"/>
                  <w:bCs w:val="1"/>
                  <w:u w:val="single" w:color="auto"/>
                  <w:color w:val="0000EE"/>
                </w:rPr>
                <w:t>PART IV</w:t>
              </w:r>
            </w:hyperlink>
          </w:p>
        </w:tc>
        <w:tc>
          <w:tcPr>
            <w:tcW w:w="2400" w:type="dxa"/>
            <w:vAlign w:val="bottom"/>
          </w:tcPr>
          <w:p>
            <w:pPr>
              <w:spacing w:after="0"/>
              <w:rPr>
                <w:sz w:val="24"/>
                <w:szCs w:val="24"/>
                <w:color w:val="auto"/>
              </w:rPr>
            </w:pPr>
          </w:p>
        </w:tc>
      </w:tr>
      <w:tr>
        <w:trPr>
          <w:trHeight w:val="225"/>
        </w:trPr>
        <w:tc>
          <w:tcPr>
            <w:tcW w:w="820" w:type="dxa"/>
            <w:vAlign w:val="bottom"/>
          </w:tcPr>
          <w:p>
            <w:pPr>
              <w:spacing w:after="0"/>
              <w:rPr>
                <w:sz w:val="20"/>
                <w:szCs w:val="20"/>
                <w:color w:val="auto"/>
              </w:rPr>
            </w:pPr>
            <w:r>
              <w:rPr>
                <w:rFonts w:ascii="Arial" w:cs="Arial" w:eastAsia="Arial" w:hAnsi="Arial"/>
                <w:sz w:val="12"/>
                <w:szCs w:val="12"/>
                <w:color w:val="auto"/>
              </w:rPr>
              <w:t>Item 15</w:t>
            </w:r>
          </w:p>
        </w:tc>
        <w:tc>
          <w:tcPr>
            <w:tcW w:w="8100" w:type="dxa"/>
            <w:vAlign w:val="bottom"/>
          </w:tcPr>
          <w:p>
            <w:pPr>
              <w:ind w:left="300"/>
              <w:spacing w:after="0"/>
              <w:rPr>
                <w:rFonts w:ascii="Arial" w:cs="Arial" w:eastAsia="Arial" w:hAnsi="Arial"/>
                <w:sz w:val="12"/>
                <w:szCs w:val="12"/>
                <w:u w:val="single" w:color="auto"/>
                <w:color w:val="0000EE"/>
              </w:rPr>
            </w:pPr>
            <w:hyperlink w:anchor="page91">
              <w:r>
                <w:rPr>
                  <w:rFonts w:ascii="Arial" w:cs="Arial" w:eastAsia="Arial" w:hAnsi="Arial"/>
                  <w:sz w:val="12"/>
                  <w:szCs w:val="12"/>
                  <w:u w:val="single" w:color="auto"/>
                  <w:color w:val="0000EE"/>
                </w:rPr>
                <w:t>Exhibits, Financial Statement Schedules</w:t>
              </w:r>
            </w:hyperlink>
          </w:p>
        </w:tc>
        <w:tc>
          <w:tcPr>
            <w:tcW w:w="240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225"/>
        </w:trPr>
        <w:tc>
          <w:tcPr>
            <w:tcW w:w="820" w:type="dxa"/>
            <w:vAlign w:val="bottom"/>
          </w:tcPr>
          <w:p>
            <w:pPr>
              <w:spacing w:after="0"/>
              <w:rPr>
                <w:rFonts w:ascii="Arial" w:cs="Arial" w:eastAsia="Arial" w:hAnsi="Arial"/>
                <w:sz w:val="12"/>
                <w:szCs w:val="12"/>
                <w:u w:val="single" w:color="auto"/>
                <w:color w:val="0000EE"/>
              </w:rPr>
            </w:pPr>
            <w:hyperlink w:anchor="page99">
              <w:r>
                <w:rPr>
                  <w:rFonts w:ascii="Arial" w:cs="Arial" w:eastAsia="Arial" w:hAnsi="Arial"/>
                  <w:sz w:val="12"/>
                  <w:szCs w:val="12"/>
                  <w:u w:val="single" w:color="auto"/>
                  <w:color w:val="0000EE"/>
                </w:rPr>
                <w:t>Signatures</w:t>
              </w:r>
            </w:hyperlink>
          </w:p>
        </w:tc>
        <w:tc>
          <w:tcPr>
            <w:tcW w:w="8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648"/>
        </w:trPr>
        <w:tc>
          <w:tcPr>
            <w:tcW w:w="8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firstLine="592"/>
        <w:spacing w:after="0" w:line="276" w:lineRule="auto"/>
        <w:rPr>
          <w:sz w:val="20"/>
          <w:szCs w:val="20"/>
          <w:color w:val="auto"/>
        </w:rPr>
      </w:pPr>
      <w:r>
        <w:rPr>
          <w:rFonts w:ascii="Arial" w:cs="Arial" w:eastAsia="Arial" w:hAnsi="Arial"/>
          <w:sz w:val="11"/>
          <w:szCs w:val="1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the impact of the COVID-19 pandemic on our ongoing and planned clinical trials or operations;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1. BUSINESS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82" w:lineRule="exact"/>
        <w:rPr>
          <w:sz w:val="20"/>
          <w:szCs w:val="20"/>
          <w:color w:val="auto"/>
        </w:rPr>
      </w:pPr>
    </w:p>
    <w:p>
      <w:pPr>
        <w:ind w:right="160" w:firstLine="592"/>
        <w:spacing w:after="0" w:line="259" w:lineRule="auto"/>
        <w:rPr>
          <w:sz w:val="20"/>
          <w:szCs w:val="20"/>
          <w:color w:val="auto"/>
        </w:rPr>
      </w:pPr>
      <w:r>
        <w:rPr>
          <w:rFonts w:ascii="Arial" w:cs="Arial" w:eastAsia="Arial" w:hAnsi="Arial"/>
          <w:sz w:val="12"/>
          <w:szCs w:val="12"/>
          <w:color w:val="auto"/>
        </w:rPr>
        <w:t>We are a clinical-stage biopharmaceutical company focused on the development and commercialization of novel therapeutics for the treatment of rare diseases. Our lead drug, Diazoxide Choline Controlled-Release tablets (DCCR), is a potent ATP-sensitive potassium (K</w:t>
      </w:r>
      <w:r>
        <w:rPr>
          <w:rFonts w:ascii="Arial" w:cs="Arial" w:eastAsia="Arial" w:hAnsi="Arial"/>
          <w:sz w:val="10"/>
          <w:szCs w:val="10"/>
          <w:color w:val="auto"/>
        </w:rPr>
        <w:t>ATP</w:t>
      </w:r>
      <w:r>
        <w:rPr>
          <w:rFonts w:ascii="Arial" w:cs="Arial" w:eastAsia="Arial" w:hAnsi="Arial"/>
          <w:sz w:val="12"/>
          <w:szCs w:val="12"/>
          <w:color w:val="auto"/>
        </w:rPr>
        <w:t>) channel activator. The K</w:t>
      </w:r>
      <w:r>
        <w:rPr>
          <w:rFonts w:ascii="Arial" w:cs="Arial" w:eastAsia="Arial" w:hAnsi="Arial"/>
          <w:sz w:val="10"/>
          <w:szCs w:val="10"/>
          <w:color w:val="auto"/>
        </w:rPr>
        <w:t>ATP</w:t>
      </w:r>
      <w:r>
        <w:rPr>
          <w:rFonts w:ascii="Arial" w:cs="Arial" w:eastAsia="Arial" w:hAnsi="Arial"/>
          <w:sz w:val="12"/>
          <w:szCs w:val="12"/>
          <w:color w:val="auto"/>
        </w:rPr>
        <w:t xml:space="preserve"> channel plays a central role in the regulation of a number of physiological processes, and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52" w:lineRule="exact"/>
        <w:rPr>
          <w:sz w:val="20"/>
          <w:szCs w:val="20"/>
          <w:color w:val="auto"/>
        </w:rPr>
      </w:pPr>
    </w:p>
    <w:p>
      <w:pPr>
        <w:jc w:val="both"/>
        <w:ind w:right="80" w:firstLine="622"/>
        <w:spacing w:after="0" w:line="263" w:lineRule="auto"/>
        <w:rPr>
          <w:sz w:val="20"/>
          <w:szCs w:val="20"/>
          <w:color w:val="auto"/>
        </w:rPr>
      </w:pPr>
      <w:r>
        <w:rPr>
          <w:rFonts w:ascii="Arial" w:cs="Arial" w:eastAsia="Arial" w:hAnsi="Arial"/>
          <w:sz w:val="12"/>
          <w:szCs w:val="12"/>
          <w:color w:val="auto"/>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drug designation for the drug in the United States (U.S.) and European Union (E.U.).</w:t>
      </w:r>
    </w:p>
    <w:p>
      <w:pPr>
        <w:spacing w:after="0" w:line="50" w:lineRule="exact"/>
        <w:rPr>
          <w:sz w:val="20"/>
          <w:szCs w:val="20"/>
          <w:color w:val="auto"/>
        </w:rPr>
      </w:pPr>
    </w:p>
    <w:p>
      <w:pPr>
        <w:ind w:firstLine="592"/>
        <w:spacing w:after="0" w:line="256" w:lineRule="auto"/>
        <w:rPr>
          <w:sz w:val="20"/>
          <w:szCs w:val="20"/>
          <w:color w:val="auto"/>
        </w:rPr>
      </w:pPr>
      <w:r>
        <w:rPr>
          <w:rFonts w:ascii="Arial" w:cs="Arial" w:eastAsia="Arial" w:hAnsi="Arial"/>
          <w:sz w:val="12"/>
          <w:szCs w:val="12"/>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We are evaluating the data and are in communication with the U.S. Food and Drug Administration (FDA) to determine next steps.</w:t>
      </w:r>
    </w:p>
    <w:p>
      <w:pPr>
        <w:spacing w:after="0" w:line="56" w:lineRule="exact"/>
        <w:rPr>
          <w:sz w:val="20"/>
          <w:szCs w:val="20"/>
          <w:color w:val="auto"/>
        </w:rPr>
      </w:pPr>
    </w:p>
    <w:p>
      <w:pPr>
        <w:ind w:right="120" w:firstLine="592"/>
        <w:spacing w:after="0" w:line="263" w:lineRule="auto"/>
        <w:rPr>
          <w:sz w:val="20"/>
          <w:szCs w:val="20"/>
          <w:color w:val="auto"/>
        </w:rPr>
      </w:pPr>
      <w:r>
        <w:rPr>
          <w:rFonts w:ascii="Arial" w:cs="Arial" w:eastAsia="Arial" w:hAnsi="Arial"/>
          <w:sz w:val="12"/>
          <w:szCs w:val="12"/>
          <w:color w:val="auto"/>
        </w:rPr>
        <w:t>Our current focus is the development of DCCR for PWS. However, other syndromes that may be similarly addressed include Fragile X-PWS Phenotype, Smith-Magenis syndrome as well as the more severely impacted forms of MC4R deficiency, a common cause of genetic obesity. Another type of disease where DCCR may be efficacious is where hypoglycemia is a significant problem. Examples include hyperinsulinemic hypoglycemia and certain Glycogen Storage Diseases.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Diazoxide Choline Controlled-Release Tablets</w:t>
      </w:r>
    </w:p>
    <w:p>
      <w:pPr>
        <w:spacing w:after="0" w:line="82" w:lineRule="exact"/>
        <w:rPr>
          <w:sz w:val="20"/>
          <w:szCs w:val="20"/>
          <w:color w:val="auto"/>
        </w:rPr>
      </w:pPr>
    </w:p>
    <w:p>
      <w:pPr>
        <w:ind w:right="120" w:firstLine="592"/>
        <w:spacing w:after="0" w:line="290" w:lineRule="auto"/>
        <w:rPr>
          <w:sz w:val="20"/>
          <w:szCs w:val="20"/>
          <w:color w:val="auto"/>
        </w:rPr>
      </w:pPr>
      <w:r>
        <w:rPr>
          <w:rFonts w:ascii="Arial" w:cs="Arial" w:eastAsia="Arial" w:hAnsi="Arial"/>
          <w:sz w:val="11"/>
          <w:szCs w:val="11"/>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KATP. Diazoxide appears to act on signs and symptoms of PWS in a variety of ways. Activating the K</w:t>
      </w:r>
      <w:r>
        <w:rPr>
          <w:rFonts w:ascii="Arial" w:cs="Arial" w:eastAsia="Arial" w:hAnsi="Arial"/>
          <w:sz w:val="9"/>
          <w:szCs w:val="9"/>
          <w:color w:val="auto"/>
        </w:rPr>
        <w:t>ATP</w:t>
      </w:r>
      <w:r>
        <w:rPr>
          <w:rFonts w:ascii="Arial" w:cs="Arial" w:eastAsia="Arial" w:hAnsi="Arial"/>
          <w:sz w:val="11"/>
          <w:szCs w:val="11"/>
          <w:color w:val="auto"/>
        </w:rPr>
        <w:t xml:space="preserve"> channel in NPY/AgRP neurons in the hypothalamus results in the hyperpolarization of the plasma membrane and thereby reduces secretion of neuropeptide Y (NPY), Agouti-related peptile (AgRP) and likely gamma-amino butyric acid (GABA) contributing to a reduction in hyperphagia. Activating the K</w:t>
      </w:r>
      <w:r>
        <w:rPr>
          <w:rFonts w:ascii="Arial" w:cs="Arial" w:eastAsia="Arial" w:hAnsi="Arial"/>
          <w:sz w:val="9"/>
          <w:szCs w:val="9"/>
          <w:color w:val="auto"/>
        </w:rPr>
        <w:t>ATP</w:t>
      </w:r>
      <w:r>
        <w:rPr>
          <w:rFonts w:ascii="Arial" w:cs="Arial" w:eastAsia="Arial" w:hAnsi="Arial"/>
          <w:sz w:val="11"/>
          <w:szCs w:val="11"/>
          <w:color w:val="auto"/>
        </w:rPr>
        <w:t xml:space="preserve"> channel in the dorsal motor nucleus of vagus has the potential to potentiate the effects of leptin, insulin and α-melanocortin stimulating hormone to reduce hyperinsulinemia, and improve appetite and satiety. Activating the K</w:t>
      </w:r>
      <w:r>
        <w:rPr>
          <w:rFonts w:ascii="Arial" w:cs="Arial" w:eastAsia="Arial" w:hAnsi="Arial"/>
          <w:sz w:val="9"/>
          <w:szCs w:val="9"/>
          <w:color w:val="auto"/>
        </w:rPr>
        <w:t>ATP</w:t>
      </w:r>
      <w:r>
        <w:rPr>
          <w:rFonts w:ascii="Arial" w:cs="Arial" w:eastAsia="Arial" w:hAnsi="Arial"/>
          <w:sz w:val="11"/>
          <w:szCs w:val="11"/>
          <w:color w:val="auto"/>
        </w:rPr>
        <w:t xml:space="preserve"> in pancreatic β-cells can further reduce the contribution of hyperinsulinemia in the accumulation of excess body fat and the progression to insulin resistance and to the establishment of leptin resistance. Activating the K</w:t>
      </w:r>
      <w:r>
        <w:rPr>
          <w:rFonts w:ascii="Arial" w:cs="Arial" w:eastAsia="Arial" w:hAnsi="Arial"/>
          <w:sz w:val="9"/>
          <w:szCs w:val="9"/>
          <w:color w:val="auto"/>
        </w:rPr>
        <w:t>ATP</w:t>
      </w:r>
      <w:r>
        <w:rPr>
          <w:rFonts w:ascii="Arial" w:cs="Arial" w:eastAsia="Arial" w:hAnsi="Arial"/>
          <w:sz w:val="11"/>
          <w:szCs w:val="11"/>
          <w:color w:val="auto"/>
        </w:rPr>
        <w:t xml:space="preserve"> channel in adipocytes has the potential to decrease de-novo triglyceride synthesis and increase β-oxidation of fat reducing fat mass.</w:t>
      </w:r>
    </w:p>
    <w:p>
      <w:pPr>
        <w:spacing w:after="0" w:line="37" w:lineRule="exact"/>
        <w:rPr>
          <w:sz w:val="20"/>
          <w:szCs w:val="20"/>
          <w:color w:val="auto"/>
        </w:rPr>
      </w:pPr>
    </w:p>
    <w:p>
      <w:pPr>
        <w:ind w:firstLine="592"/>
        <w:spacing w:after="0" w:line="340" w:lineRule="auto"/>
        <w:rPr>
          <w:sz w:val="20"/>
          <w:szCs w:val="20"/>
          <w:color w:val="auto"/>
        </w:rPr>
      </w:pPr>
      <w:r>
        <w:rPr>
          <w:rFonts w:ascii="Arial" w:cs="Arial" w:eastAsia="Arial" w:hAnsi="Arial"/>
          <w:sz w:val="10"/>
          <w:szCs w:val="10"/>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indications. Both the capsule and IV formulations have been withdrawn from the US market for reasons other than safety. In addition, there are also extensive data on short term and chronic use of Proglycem in children with congenital hyperinsulinism, or CHI, and in adults with insulinoma. Insulinoma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auto"/>
        </w:rPr>
        <w:t>patients tend to be older, with 50% of them over 70 years old. Published data have reported that the average duration of use of Proglycem in certain CHI and insulinoma patients is 5 years and 7 years, respectively.</w:t>
      </w:r>
    </w:p>
    <w:p>
      <w:pPr>
        <w:spacing w:after="0" w:line="162" w:lineRule="exact"/>
        <w:rPr>
          <w:sz w:val="20"/>
          <w:szCs w:val="20"/>
          <w:color w:val="auto"/>
        </w:rPr>
      </w:pPr>
    </w:p>
    <w:p>
      <w:pPr>
        <w:ind w:right="120" w:firstLine="592"/>
        <w:spacing w:after="0" w:line="254" w:lineRule="auto"/>
        <w:rPr>
          <w:sz w:val="20"/>
          <w:szCs w:val="20"/>
          <w:color w:val="auto"/>
        </w:rPr>
      </w:pPr>
      <w:r>
        <w:rPr>
          <w:rFonts w:ascii="Arial" w:cs="Arial" w:eastAsia="Arial" w:hAnsi="Arial"/>
          <w:sz w:val="12"/>
          <w:szCs w:val="12"/>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that lowers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Once it enters circulation, diazoxide becomes extensively protein bound, however only the unbound drug is active and readily enters tissues. Thus, the continuous absorption of diazoxide from DCCR may result in higher levels of unbound diazoxide for a given administered dose. The extended release and absorption from the formulation, reduced intraday variability in circulating drug levels, and the potentially higher levels of unbound diazoxide makes DCCR tablets suitable for once daily dosing and achieving efficacy at lower diazoxide-equivalent doses.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Prader-Willi Syndrome</w:t>
      </w:r>
    </w:p>
    <w:p>
      <w:pPr>
        <w:spacing w:after="0" w:line="78" w:lineRule="exact"/>
        <w:rPr>
          <w:sz w:val="20"/>
          <w:szCs w:val="20"/>
          <w:color w:val="auto"/>
        </w:rPr>
      </w:pPr>
    </w:p>
    <w:p>
      <w:pPr>
        <w:jc w:val="both"/>
        <w:ind w:right="60" w:firstLine="592"/>
        <w:spacing w:after="0" w:line="285" w:lineRule="auto"/>
        <w:rPr>
          <w:sz w:val="20"/>
          <w:szCs w:val="20"/>
          <w:color w:val="auto"/>
        </w:rPr>
      </w:pPr>
      <w:r>
        <w:rPr>
          <w:rFonts w:ascii="Arial" w:cs="Arial" w:eastAsia="Arial" w:hAnsi="Arial"/>
          <w:sz w:val="11"/>
          <w:szCs w:val="11"/>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13" w:lineRule="exact"/>
        <w:rPr>
          <w:sz w:val="20"/>
          <w:szCs w:val="20"/>
          <w:color w:val="auto"/>
        </w:rPr>
      </w:pPr>
    </w:p>
    <w:p>
      <w:pPr>
        <w:ind w:right="240" w:firstLine="592"/>
        <w:spacing w:after="0" w:line="263" w:lineRule="auto"/>
        <w:rPr>
          <w:sz w:val="20"/>
          <w:szCs w:val="20"/>
          <w:color w:val="auto"/>
        </w:rPr>
      </w:pPr>
      <w:r>
        <w:rPr>
          <w:rFonts w:ascii="Arial" w:cs="Arial" w:eastAsia="Arial" w:hAnsi="Arial"/>
          <w:sz w:val="12"/>
          <w:szCs w:val="12"/>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22" w:lineRule="exact"/>
        <w:rPr>
          <w:sz w:val="20"/>
          <w:szCs w:val="20"/>
          <w:color w:val="auto"/>
        </w:rPr>
      </w:pPr>
    </w:p>
    <w:p>
      <w:pPr>
        <w:ind w:firstLine="592"/>
        <w:spacing w:after="0" w:line="281" w:lineRule="auto"/>
        <w:rPr>
          <w:sz w:val="20"/>
          <w:szCs w:val="20"/>
          <w:color w:val="auto"/>
        </w:rPr>
      </w:pPr>
      <w:r>
        <w:rPr>
          <w:rFonts w:ascii="Arial" w:cs="Arial" w:eastAsia="Arial" w:hAnsi="Arial"/>
          <w:sz w:val="11"/>
          <w:szCs w:val="11"/>
          <w:color w:val="auto"/>
        </w:rPr>
        <w:t>PWS is typically thought of as a genetic obesity. However, many PWS patients today may not be obese because of increasing awareness among families and caregivers leading to significant control of food and its intake. However, patients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Unmet Medical Needs in PWS</w:t>
      </w:r>
    </w:p>
    <w:p>
      <w:pPr>
        <w:spacing w:after="0" w:line="78" w:lineRule="exact"/>
        <w:rPr>
          <w:sz w:val="20"/>
          <w:szCs w:val="20"/>
          <w:color w:val="auto"/>
        </w:rPr>
      </w:pPr>
    </w:p>
    <w:p>
      <w:pPr>
        <w:ind w:right="100" w:firstLine="592"/>
        <w:spacing w:after="0" w:line="379" w:lineRule="auto"/>
        <w:rPr>
          <w:sz w:val="20"/>
          <w:szCs w:val="20"/>
          <w:color w:val="auto"/>
        </w:rPr>
      </w:pPr>
      <w:r>
        <w:rPr>
          <w:rFonts w:ascii="Arial" w:cs="Arial" w:eastAsia="Arial" w:hAnsi="Arial"/>
          <w:sz w:val="10"/>
          <w:szCs w:val="10"/>
          <w:color w:val="auto"/>
        </w:rPr>
        <w:t>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2"/>
          <w:szCs w:val="12"/>
          <w:color w:val="auto"/>
        </w:rPr>
        <w:t xml:space="preserve">important symptom to be relieved by a new treatment - </w:t>
      </w:r>
      <w:r>
        <w:rPr>
          <w:rFonts w:ascii="Arial" w:cs="Arial" w:eastAsia="Arial" w:hAnsi="Arial"/>
          <w:sz w:val="10"/>
          <w:szCs w:val="10"/>
          <w:u w:val="single" w:color="auto"/>
          <w:color w:val="auto"/>
        </w:rPr>
        <w:t>https://www.fpwr.org/pws-patient-voices</w:t>
      </w:r>
      <w:r>
        <w:rPr>
          <w:rFonts w:ascii="Arial" w:cs="Arial" w:eastAsia="Arial" w:hAnsi="Arial"/>
          <w:sz w:val="12"/>
          <w:szCs w:val="12"/>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24" w:lineRule="exact"/>
        <w:rPr>
          <w:sz w:val="20"/>
          <w:szCs w:val="20"/>
          <w:color w:val="auto"/>
        </w:rPr>
      </w:pPr>
    </w:p>
    <w:p>
      <w:pPr>
        <w:ind w:right="440" w:firstLine="592"/>
        <w:spacing w:after="0" w:line="276" w:lineRule="auto"/>
        <w:rPr>
          <w:sz w:val="20"/>
          <w:szCs w:val="20"/>
          <w:color w:val="auto"/>
        </w:rPr>
      </w:pPr>
      <w:r>
        <w:rPr>
          <w:rFonts w:ascii="Arial" w:cs="Arial" w:eastAsia="Arial" w:hAnsi="Arial"/>
          <w:sz w:val="12"/>
          <w:szCs w:val="12"/>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Clinical Trials of DCCR for PWS</w:t>
      </w:r>
    </w:p>
    <w:p>
      <w:pPr>
        <w:spacing w:after="0" w:line="150" w:lineRule="exact"/>
        <w:rPr>
          <w:sz w:val="20"/>
          <w:szCs w:val="20"/>
          <w:color w:val="auto"/>
        </w:rPr>
      </w:pPr>
    </w:p>
    <w:p>
      <w:pPr>
        <w:ind w:right="100" w:firstLine="592"/>
        <w:spacing w:after="0" w:line="289" w:lineRule="auto"/>
        <w:rPr>
          <w:sz w:val="20"/>
          <w:szCs w:val="20"/>
          <w:color w:val="auto"/>
        </w:rPr>
      </w:pPr>
      <w:r>
        <w:rPr>
          <w:rFonts w:ascii="Arial" w:cs="Arial" w:eastAsia="Arial" w:hAnsi="Arial"/>
          <w:sz w:val="11"/>
          <w:szCs w:val="11"/>
          <w:color w:val="auto"/>
        </w:rPr>
        <w:t>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11" w:lineRule="exact"/>
        <w:rPr>
          <w:sz w:val="20"/>
          <w:szCs w:val="20"/>
          <w:color w:val="auto"/>
        </w:rPr>
      </w:pPr>
    </w:p>
    <w:p>
      <w:pPr>
        <w:ind w:right="140" w:firstLine="592"/>
        <w:spacing w:after="0" w:line="276" w:lineRule="auto"/>
        <w:rPr>
          <w:sz w:val="20"/>
          <w:szCs w:val="20"/>
          <w:color w:val="auto"/>
        </w:rPr>
      </w:pPr>
      <w:r>
        <w:rPr>
          <w:rFonts w:ascii="Arial" w:cs="Arial" w:eastAsia="Arial" w:hAnsi="Arial"/>
          <w:sz w:val="12"/>
          <w:szCs w:val="12"/>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15" w:lineRule="exact"/>
        <w:rPr>
          <w:sz w:val="20"/>
          <w:szCs w:val="20"/>
          <w:color w:val="auto"/>
        </w:rPr>
      </w:pPr>
    </w:p>
    <w:p>
      <w:pPr>
        <w:ind w:right="40" w:firstLine="592"/>
        <w:spacing w:after="0" w:line="289" w:lineRule="auto"/>
        <w:rPr>
          <w:sz w:val="20"/>
          <w:szCs w:val="20"/>
          <w:color w:val="auto"/>
        </w:rPr>
      </w:pPr>
      <w:r>
        <w:rPr>
          <w:rFonts w:ascii="Arial" w:cs="Arial" w:eastAsia="Arial" w:hAnsi="Arial"/>
          <w:sz w:val="11"/>
          <w:szCs w:val="11"/>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111" w:lineRule="exact"/>
        <w:rPr>
          <w:sz w:val="20"/>
          <w:szCs w:val="20"/>
          <w:color w:val="auto"/>
        </w:rPr>
      </w:pPr>
    </w:p>
    <w:p>
      <w:pPr>
        <w:ind w:right="40" w:firstLine="592"/>
        <w:spacing w:after="0" w:line="256" w:lineRule="auto"/>
        <w:rPr>
          <w:sz w:val="20"/>
          <w:szCs w:val="20"/>
          <w:color w:val="auto"/>
        </w:rPr>
      </w:pPr>
      <w:r>
        <w:rPr>
          <w:rFonts w:ascii="Arial" w:cs="Arial" w:eastAsia="Arial" w:hAnsi="Arial"/>
          <w:sz w:val="12"/>
          <w:szCs w:val="12"/>
          <w:color w:val="auto"/>
        </w:rPr>
        <w:t>A Phase 3 clinical trial was subsequently conducted to evaluate the efficacy and safety of DCCR in patients with genetically-confirmed PWS. This study, DESTINY PWS, was a multi-center, randomized, double-blind, placebo-controlled study with enrollment of approximately 105 children and adults with PWS. Subjects who complete the 15-week DESTINY PWS study were allowed to enroll in a long-term, safety extension study (C602). On each of March 14, 2019, and October 1, 2019 the Data Safety Monitoring Board (DSMB) recommended the continuation of our Phase 13 DESTINY PWS trial without any changes. The DSMB is a group of independent experts monitoring the safety of the DESTINY PWS study. The DSMB reviews safety information and can make recommendations to either continue the study without modification, modify the study or terminate the study due to safety concerns. The C602 study is currently ongoing.</w:t>
      </w:r>
    </w:p>
    <w:p>
      <w:pPr>
        <w:spacing w:after="0" w:line="12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In July 2018, the FDA designated the development program for investigation of DCCR for the treatment of PWS to be a Fast Track development program. Prior to this, diazoxide choline received orphan designation for the treatment of PWS in the U.S. and in the E.U.</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Safety of DCCR in the Treatment of PWS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the DESTINY-PWS clinical trial (C601) treatment emergent adverse events (TEAEs) occurred in 83.3% of DCCR treated subjects and 73.8% of placebo treated subjects. The most common TEAEs in both groups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included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03" w:right="359" w:bottom="1440" w:gutter="0" w:footer="0" w:header="0"/>
        </w:sectPr>
      </w:pPr>
    </w:p>
    <w:bookmarkStart w:id="6" w:name="page7"/>
    <w:bookmarkEnd w:id="6"/>
    <w:p>
      <w:pPr>
        <w:ind w:right="20"/>
        <w:spacing w:after="0" w:line="276" w:lineRule="auto"/>
        <w:rPr>
          <w:sz w:val="20"/>
          <w:szCs w:val="20"/>
          <w:color w:val="auto"/>
        </w:rPr>
      </w:pPr>
      <w:r>
        <w:rPr>
          <w:rFonts w:ascii="Arial" w:cs="Arial" w:eastAsia="Arial" w:hAnsi="Arial"/>
          <w:sz w:val="12"/>
          <w:szCs w:val="12"/>
          <w:color w:val="auto"/>
        </w:rPr>
        <w:t>hypertrichosis, hirsutism, upper respiratory tract infections, peripheral edema, headache and hyperglycemia. Hypertrichosis, peripheral edema, and hyperglycemia occurring more frequently in the DCCR group, headache occurred more frequently in the placebo group, and hirsutism and upper respiratory tract infections occurring with almost equal frequency in the two groups.</w:t>
      </w:r>
    </w:p>
    <w:p>
      <w:pPr>
        <w:spacing w:after="0" w:line="115" w:lineRule="exact"/>
        <w:rPr>
          <w:sz w:val="20"/>
          <w:szCs w:val="20"/>
          <w:color w:val="auto"/>
        </w:rPr>
      </w:pPr>
    </w:p>
    <w:p>
      <w:pPr>
        <w:ind w:right="220" w:firstLine="592"/>
        <w:spacing w:after="0" w:line="276" w:lineRule="auto"/>
        <w:rPr>
          <w:sz w:val="20"/>
          <w:szCs w:val="20"/>
          <w:color w:val="auto"/>
        </w:rPr>
      </w:pPr>
      <w:r>
        <w:rPr>
          <w:rFonts w:ascii="Arial" w:cs="Arial" w:eastAsia="Arial" w:hAnsi="Arial"/>
          <w:sz w:val="12"/>
          <w:szCs w:val="12"/>
          <w:color w:val="auto"/>
        </w:rPr>
        <w:t>The safety profile of DCCR in C601 was generally consistent with the known safety profile of diazoxide and prior experience with DCCR. Most events were Grade 1 in severity with no Grade 4 or higher events. There were no serious unexpected adverse events (SUSARs) related to DCCR in clinical study C601.</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Regulatory Status of DCCR for the Treatment of PWS</w:t>
      </w:r>
    </w:p>
    <w:p>
      <w:pPr>
        <w:spacing w:after="0" w:line="78" w:lineRule="exact"/>
        <w:rPr>
          <w:sz w:val="20"/>
          <w:szCs w:val="20"/>
          <w:color w:val="auto"/>
        </w:rPr>
      </w:pPr>
    </w:p>
    <w:p>
      <w:pPr>
        <w:ind w:firstLine="592"/>
        <w:spacing w:after="0" w:line="277" w:lineRule="auto"/>
        <w:rPr>
          <w:sz w:val="20"/>
          <w:szCs w:val="20"/>
          <w:color w:val="auto"/>
        </w:rPr>
      </w:pPr>
      <w:r>
        <w:rPr>
          <w:rFonts w:ascii="Arial" w:cs="Arial" w:eastAsia="Arial" w:hAnsi="Arial"/>
          <w:sz w:val="11"/>
          <w:szCs w:val="11"/>
          <w:color w:val="auto"/>
        </w:rPr>
        <w:t>Diazoxide choline is being developed in the U.S. under a current IND and is designated as an Orphan Drug for the treatment of PWS. We announced completion of a meeting to discuss the proposed development of DCCR for the treatment of PWS with the FDA on July 5, 2017. On September 25, 2017, we announced receipt of scientific advice from the Committee for Medicinal Products for Human Use (CHMP) of the European Medicines Agency (EMA) regarding DCCR for the treatment of PWS. On October 12, 2017, we announced the receipt of a positive opinion from the Committee for Orphan Medicinal Products (COMP) of the EMA recommending Orphan Designation for diazoxide choline for the treatment of PWS. This designation was granted by the European Commission as EU/3/17/1941. We announced completion and receipt of minutes from an End-of-Phase 2 meeting with the FDA and confirmed alignment on key aspects of the Phase 13 study design, including the primary endpoint and duration of the trial on February 20, 2018. On July 30, 2018, we announced that DCCR was granted “Fast Track” designation for the treatment of PWS. Fast Track designation is intended to provide patients with serious conditions and unmet medical needs access to new drugs earlier by assisting their development and accelerating their review by the FDA. Fast Track designation allows additional meetings with the FDA to discuss our development plan to ensure the appropriate data are collected and encourages frequent written communication with the FDA regarding design of clinical trials and use of biomarkers. If certain criteria are met, DCCR may be eligible for “Accelerated Approval” and “Priority Review” and also “Rolling Review”, which would allow us to submit to the FDA sections of our New Drug Application (NDA) as they are finished instead of waiting for all sections to be completed before submitting the marketing application. In June 2020 we announced topline results for our Phase 3 clinical development study DESTINY PWS.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We are evaluating the data and in communication with the regulatory authorities to determine next steps.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Market opportunity</w:t>
      </w:r>
    </w:p>
    <w:p>
      <w:pPr>
        <w:spacing w:after="0" w:line="78" w:lineRule="exact"/>
        <w:rPr>
          <w:sz w:val="20"/>
          <w:szCs w:val="20"/>
          <w:color w:val="auto"/>
        </w:rPr>
      </w:pPr>
    </w:p>
    <w:p>
      <w:pPr>
        <w:ind w:right="140" w:firstLine="592"/>
        <w:spacing w:after="0" w:line="263" w:lineRule="auto"/>
        <w:rPr>
          <w:sz w:val="20"/>
          <w:szCs w:val="20"/>
          <w:color w:val="auto"/>
        </w:rPr>
      </w:pPr>
      <w:r>
        <w:rPr>
          <w:rFonts w:ascii="Arial" w:cs="Arial" w:eastAsia="Arial" w:hAnsi="Arial"/>
          <w:sz w:val="12"/>
          <w:szCs w:val="12"/>
          <w:color w:val="auto"/>
        </w:rPr>
        <w:t>An estimated 300,000 to 400,000 individuals worldwide have PWS with a birth incidence ranging from 1:15,000 to 1:25,000.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78"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Newly diagnosed PWS patients are typically treated by a multi-disciplinary team led by a pediatric endocrinologist. Many patients receive care at larger clinics devoted to PWS in university-associated hospitals or at children’s hospitals. This concentration of care allows us to consider marketing DCCR without a partner by assembling a small, dedicated salesforce to target the limited number of major PWS treatment centers in the U.S. We believe similar dynamics exist in Europe. In contrast to the situation in the U.S. and Europe, we are likely to need to identify a marketing partner for DCCR in Japan, and the rest of the world. The final decision on sales and marketing strategy will be made at a later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7" w:name="page8"/>
    <w:bookmarkEnd w:id="7"/>
    <w:p>
      <w:pPr>
        <w:ind w:left="580"/>
        <w:spacing w:after="0"/>
        <w:rPr>
          <w:sz w:val="20"/>
          <w:szCs w:val="20"/>
          <w:color w:val="auto"/>
        </w:rPr>
      </w:pPr>
      <w:r>
        <w:rPr>
          <w:rFonts w:ascii="Arial" w:cs="Arial" w:eastAsia="Arial" w:hAnsi="Arial"/>
          <w:sz w:val="12"/>
          <w:szCs w:val="12"/>
          <w:b w:val="1"/>
          <w:bCs w:val="1"/>
          <w:i w:val="1"/>
          <w:iCs w:val="1"/>
          <w:color w:val="auto"/>
        </w:rPr>
        <w:t>Pricing</w:t>
      </w:r>
    </w:p>
    <w:p>
      <w:pPr>
        <w:spacing w:after="0" w:line="78" w:lineRule="exact"/>
        <w:rPr>
          <w:sz w:val="20"/>
          <w:szCs w:val="20"/>
          <w:color w:val="auto"/>
        </w:rPr>
      </w:pPr>
    </w:p>
    <w:p>
      <w:pPr>
        <w:ind w:right="280" w:firstLine="592"/>
        <w:spacing w:after="0" w:line="276" w:lineRule="auto"/>
        <w:rPr>
          <w:sz w:val="20"/>
          <w:szCs w:val="20"/>
          <w:color w:val="auto"/>
        </w:rPr>
      </w:pPr>
      <w:r>
        <w:rPr>
          <w:rFonts w:ascii="Arial" w:cs="Arial" w:eastAsia="Arial" w:hAnsi="Arial"/>
          <w:sz w:val="12"/>
          <w:szCs w:val="12"/>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Competition</w:t>
      </w:r>
    </w:p>
    <w:p>
      <w:pPr>
        <w:spacing w:after="0" w:line="78" w:lineRule="exact"/>
        <w:rPr>
          <w:sz w:val="20"/>
          <w:szCs w:val="20"/>
          <w:color w:val="auto"/>
        </w:rPr>
      </w:pPr>
    </w:p>
    <w:p>
      <w:pPr>
        <w:jc w:val="both"/>
        <w:ind w:right="200" w:firstLine="592"/>
        <w:spacing w:after="0" w:line="263" w:lineRule="auto"/>
        <w:rPr>
          <w:sz w:val="20"/>
          <w:szCs w:val="20"/>
          <w:color w:val="auto"/>
        </w:rPr>
      </w:pPr>
      <w:r>
        <w:rPr>
          <w:rFonts w:ascii="Arial" w:cs="Arial" w:eastAsia="Arial" w:hAnsi="Arial"/>
          <w:sz w:val="12"/>
          <w:szCs w:val="12"/>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Saniona AB, Inversago, and Consynance.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Pharmaceuticals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manufacturing strategy is to contract with third parties to manufacture our clinical and commercial API and drug product supplies.</w:t>
      </w:r>
    </w:p>
    <w:p>
      <w:pPr>
        <w:spacing w:after="0" w:line="150" w:lineRule="exact"/>
        <w:rPr>
          <w:sz w:val="20"/>
          <w:szCs w:val="20"/>
          <w:color w:val="auto"/>
        </w:rPr>
      </w:pPr>
    </w:p>
    <w:p>
      <w:pPr>
        <w:ind w:right="180" w:firstLine="592"/>
        <w:spacing w:after="0" w:line="276" w:lineRule="auto"/>
        <w:rPr>
          <w:sz w:val="20"/>
          <w:szCs w:val="20"/>
          <w:color w:val="auto"/>
        </w:rPr>
      </w:pPr>
      <w:r>
        <w:rPr>
          <w:rFonts w:ascii="Arial" w:cs="Arial" w:eastAsia="Arial" w:hAnsi="Arial"/>
          <w:sz w:val="12"/>
          <w:szCs w:val="12"/>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15"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Regulation of Pharmaceutical Manufacturing Processes</w:t>
      </w:r>
    </w:p>
    <w:p>
      <w:pPr>
        <w:spacing w:after="0" w:line="78"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2"/>
          <w:szCs w:val="12"/>
          <w:color w:val="auto"/>
        </w:rPr>
        <w:t>The manufacturing process for pharmaceutical products is highly regulated and regulators may shut down manufacturing facilities that they believe do not comply with regulations, legislations, and/or guidlines.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DCCR Patent Portfolio</w:t>
      </w:r>
    </w:p>
    <w:p>
      <w:pPr>
        <w:spacing w:after="0" w:line="78" w:lineRule="exact"/>
        <w:rPr>
          <w:sz w:val="20"/>
          <w:szCs w:val="20"/>
          <w:color w:val="auto"/>
        </w:rPr>
      </w:pPr>
    </w:p>
    <w:p>
      <w:pPr>
        <w:jc w:val="both"/>
        <w:ind w:right="200" w:firstLine="592"/>
        <w:spacing w:after="0" w:line="263" w:lineRule="auto"/>
        <w:rPr>
          <w:sz w:val="20"/>
          <w:szCs w:val="20"/>
          <w:color w:val="auto"/>
        </w:rPr>
      </w:pPr>
      <w:r>
        <w:rPr>
          <w:rFonts w:ascii="Arial" w:cs="Arial" w:eastAsia="Arial" w:hAnsi="Arial"/>
          <w:sz w:val="12"/>
          <w:szCs w:val="12"/>
          <w:color w:val="auto"/>
        </w:rPr>
        <w:t>Our patent portfolio surrounding DCCR consists of 9 issued U.S. patents and 3 pending U.S. applications. Our issued U.S. patents (no.’s 7,572,789, 7,799,777, 9,381,202, 9,757,384, 9,765,043, 10,058,557, 10,085,998, 10,456,408, and 10,874,676) expire in 2026 to 2035. We also have one or more issued patents covering the product in the E.U., Canada, Japan, China, India, Hong Kong, Australia, Eurasia, and numerous patent applications being prosecuted at the national level in all major pharma markets around the world. The issued patents and pending patent applications include protection of:</w:t>
      </w:r>
    </w:p>
    <w:p>
      <w:pPr>
        <w:spacing w:after="0" w:line="50" w:lineRule="exact"/>
        <w:rPr>
          <w:sz w:val="20"/>
          <w:szCs w:val="20"/>
          <w:color w:val="auto"/>
        </w:rPr>
      </w:pPr>
    </w:p>
    <w:p>
      <w:pPr>
        <w:ind w:left="1020" w:hanging="443"/>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 large family of salts including diazoxide choline, the active ingredient in DCCR and all pharmaceutical formulations of those salts;</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Specific polymorphs (specific crystalline forms) of salts of diazoxide and all pharmaceutical formulations of those polymorphs;</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Methods of manufacture of diazoxide choline and specific crystalline forms;</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Methods to treat various diseases including PWS and other rare diseases with DCCR;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75" w:right="359" w:bottom="1440" w:gutter="0" w:footer="0" w:header="0"/>
        </w:sectPr>
      </w:pPr>
    </w:p>
    <w:bookmarkStart w:id="8" w:name="page9"/>
    <w:bookmarkEnd w:id="8"/>
    <w:p>
      <w:pPr>
        <w:ind w:left="1020" w:hanging="443"/>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Methods to treat obese, overweight and obesity-prone individuals with DCCR;</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Pharmaceutical formulations of diazoxide;</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Methods to treat various diseases including a number of aspects of PWS and other rare diseases with diazoxide; and</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Methods to treat various rare diseases, including PWS, with KATP channel agonists.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 - Pharmaceuticals</w:t>
      </w:r>
    </w:p>
    <w:p>
      <w:pPr>
        <w:spacing w:after="0" w:line="82"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22"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and Japan, have very similar regulatory approval processes.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Nonclinical Testing</w:t>
      </w:r>
    </w:p>
    <w:p>
      <w:pPr>
        <w:spacing w:after="0" w:line="78" w:lineRule="exact"/>
        <w:rPr>
          <w:sz w:val="20"/>
          <w:szCs w:val="20"/>
          <w:color w:val="auto"/>
        </w:rPr>
      </w:pPr>
    </w:p>
    <w:p>
      <w:pPr>
        <w:ind w:right="180" w:firstLine="592"/>
        <w:spacing w:after="0" w:line="379" w:lineRule="auto"/>
        <w:rPr>
          <w:sz w:val="20"/>
          <w:szCs w:val="20"/>
          <w:color w:val="auto"/>
        </w:rPr>
      </w:pPr>
      <w:r>
        <w:rPr>
          <w:rFonts w:ascii="Arial" w:cs="Arial" w:eastAsia="Arial" w:hAnsi="Arial"/>
          <w:sz w:val="10"/>
          <w:szCs w:val="10"/>
          <w:color w:val="auto"/>
        </w:rPr>
        <w:t>Before a drug candidate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Investigational New Drug Exemption Application (IND)</w:t>
      </w:r>
    </w:p>
    <w:p>
      <w:pPr>
        <w:spacing w:after="0" w:line="78" w:lineRule="exact"/>
        <w:rPr>
          <w:sz w:val="20"/>
          <w:szCs w:val="20"/>
          <w:color w:val="auto"/>
        </w:rPr>
      </w:pPr>
    </w:p>
    <w:p>
      <w:pPr>
        <w:jc w:val="both"/>
        <w:ind w:right="80" w:firstLine="592"/>
        <w:spacing w:after="0" w:line="263" w:lineRule="auto"/>
        <w:rPr>
          <w:sz w:val="20"/>
          <w:szCs w:val="20"/>
          <w:color w:val="auto"/>
        </w:rPr>
      </w:pPr>
      <w:r>
        <w:rPr>
          <w:rFonts w:ascii="Arial" w:cs="Arial" w:eastAsia="Arial" w:hAnsi="Arial"/>
          <w:sz w:val="12"/>
          <w:szCs w:val="12"/>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Clinical Trials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These clinical trials involve three separate phases that often overlap, can take many years and are very expensive. These three phases, which are subject to considerable regulation, are as follows:</w:t>
      </w:r>
    </w:p>
    <w:p>
      <w:pPr>
        <w:spacing w:after="0" w:line="150" w:lineRule="exact"/>
        <w:rPr>
          <w:sz w:val="20"/>
          <w:szCs w:val="20"/>
          <w:color w:val="auto"/>
        </w:rPr>
      </w:pPr>
    </w:p>
    <w:p>
      <w:pPr>
        <w:ind w:firstLine="592"/>
        <w:spacing w:after="0" w:line="259" w:lineRule="auto"/>
        <w:rPr>
          <w:sz w:val="20"/>
          <w:szCs w:val="20"/>
          <w:color w:val="auto"/>
        </w:rPr>
      </w:pPr>
      <w:r>
        <w:rPr>
          <w:rFonts w:ascii="Arial" w:cs="Arial" w:eastAsia="Arial" w:hAnsi="Arial"/>
          <w:sz w:val="12"/>
          <w:szCs w:val="12"/>
          <w:i w:val="1"/>
          <w:iCs w:val="1"/>
          <w:color w:val="auto"/>
        </w:rPr>
        <w:t>Phase 1 Studies</w:t>
      </w:r>
      <w:r>
        <w:rPr>
          <w:rFonts w:ascii="Arial" w:cs="Arial" w:eastAsia="Arial" w:hAnsi="Arial"/>
          <w:sz w:val="12"/>
          <w:szCs w:val="12"/>
          <w:color w:val="auto"/>
        </w:rPr>
        <w:t>. During Phase 1 studies, researchers test a new drug in healthy volunteers. In most cases, 20 to 80 healthy volunteers participate in Phase 1. Phase 1 studies are closely monitored and gather information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24" w:lineRule="exact"/>
        <w:rPr>
          <w:sz w:val="20"/>
          <w:szCs w:val="20"/>
          <w:color w:val="auto"/>
        </w:rPr>
      </w:pPr>
    </w:p>
    <w:p>
      <w:pPr>
        <w:ind w:right="40" w:firstLine="592"/>
        <w:spacing w:after="0" w:line="263" w:lineRule="auto"/>
        <w:rPr>
          <w:sz w:val="20"/>
          <w:szCs w:val="20"/>
          <w:color w:val="auto"/>
        </w:rPr>
      </w:pPr>
      <w:r>
        <w:rPr>
          <w:rFonts w:ascii="Arial" w:cs="Arial" w:eastAsia="Arial" w:hAnsi="Arial"/>
          <w:sz w:val="12"/>
          <w:szCs w:val="12"/>
          <w:i w:val="1"/>
          <w:iCs w:val="1"/>
          <w:color w:val="auto"/>
        </w:rPr>
        <w:t>Phase 2 Studies</w:t>
      </w:r>
      <w:r>
        <w:rPr>
          <w:rFonts w:ascii="Arial" w:cs="Arial" w:eastAsia="Arial" w:hAnsi="Arial"/>
          <w:sz w:val="12"/>
          <w:szCs w:val="12"/>
          <w:color w:val="auto"/>
        </w:rPr>
        <w:t>. In Phase 2 studies, researchers administer the drug to a group of people with the disease or condition for which the drug is being developed. Typically involving up to a few hundred patients, these studies</w:t>
      </w:r>
      <w:r>
        <w:rPr>
          <w:rFonts w:ascii="Arial" w:cs="Arial" w:eastAsia="Arial" w:hAnsi="Arial"/>
          <w:sz w:val="12"/>
          <w:szCs w:val="12"/>
          <w:i w:val="1"/>
          <w:iCs w:val="1"/>
          <w:color w:val="auto"/>
        </w:rPr>
        <w:t xml:space="preserve"> </w:t>
      </w:r>
      <w:r>
        <w:rPr>
          <w:rFonts w:ascii="Arial" w:cs="Arial" w:eastAsia="Arial" w:hAnsi="Arial"/>
          <w:sz w:val="12"/>
          <w:szCs w:val="12"/>
          <w:color w:val="auto"/>
        </w:rPr>
        <w:t>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9" w:name="page10"/>
    <w:bookmarkEnd w:id="9"/>
    <w:p>
      <w:pPr>
        <w:jc w:val="both"/>
        <w:ind w:right="100" w:firstLine="592"/>
        <w:spacing w:after="0" w:line="263" w:lineRule="auto"/>
        <w:rPr>
          <w:sz w:val="20"/>
          <w:szCs w:val="20"/>
          <w:color w:val="auto"/>
        </w:rPr>
      </w:pPr>
      <w:r>
        <w:rPr>
          <w:rFonts w:ascii="Arial" w:cs="Arial" w:eastAsia="Arial" w:hAnsi="Arial"/>
          <w:sz w:val="12"/>
          <w:szCs w:val="12"/>
          <w:i w:val="1"/>
          <w:iCs w:val="1"/>
          <w:color w:val="auto"/>
        </w:rPr>
        <w:t>Phase 3 Studies</w:t>
      </w:r>
      <w:r>
        <w:rPr>
          <w:rFonts w:ascii="Arial" w:cs="Arial" w:eastAsia="Arial" w:hAnsi="Arial"/>
          <w:sz w:val="12"/>
          <w:szCs w:val="12"/>
          <w:color w:val="auto"/>
        </w:rPr>
        <w:t>. Researchers design Phase 3 studies to demonstrate whether or not a product offers a treatment benefit to a specific population. Sometimes known as pivotal studies, these studies generally involve a larger</w:t>
      </w:r>
      <w:r>
        <w:rPr>
          <w:rFonts w:ascii="Arial" w:cs="Arial" w:eastAsia="Arial" w:hAnsi="Arial"/>
          <w:sz w:val="12"/>
          <w:szCs w:val="12"/>
          <w:i w:val="1"/>
          <w:iCs w:val="1"/>
          <w:color w:val="auto"/>
        </w:rPr>
        <w:t xml:space="preserve"> </w:t>
      </w:r>
      <w:r>
        <w:rPr>
          <w:rFonts w:ascii="Arial" w:cs="Arial" w:eastAsia="Arial" w:hAnsi="Arial"/>
          <w:sz w:val="12"/>
          <w:szCs w:val="12"/>
          <w:color w:val="auto"/>
        </w:rPr>
        <w:t>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22" w:lineRule="exact"/>
        <w:rPr>
          <w:sz w:val="20"/>
          <w:szCs w:val="20"/>
          <w:color w:val="auto"/>
        </w:rPr>
      </w:pPr>
    </w:p>
    <w:p>
      <w:pPr>
        <w:jc w:val="both"/>
        <w:ind w:right="100" w:firstLine="592"/>
        <w:spacing w:after="0" w:line="298" w:lineRule="auto"/>
        <w:rPr>
          <w:sz w:val="20"/>
          <w:szCs w:val="20"/>
          <w:color w:val="auto"/>
        </w:rPr>
      </w:pPr>
      <w:r>
        <w:rPr>
          <w:rFonts w:ascii="Arial" w:cs="Arial" w:eastAsia="Arial" w:hAnsi="Arial"/>
          <w:sz w:val="11"/>
          <w:szCs w:val="11"/>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05" w:lineRule="exact"/>
        <w:rPr>
          <w:sz w:val="20"/>
          <w:szCs w:val="20"/>
          <w:color w:val="auto"/>
        </w:rPr>
      </w:pPr>
    </w:p>
    <w:p>
      <w:pPr>
        <w:ind w:right="120" w:firstLine="592"/>
        <w:spacing w:after="0" w:line="263" w:lineRule="auto"/>
        <w:rPr>
          <w:sz w:val="20"/>
          <w:szCs w:val="20"/>
          <w:color w:val="auto"/>
        </w:rPr>
      </w:pPr>
      <w:r>
        <w:rPr>
          <w:rFonts w:ascii="Arial" w:cs="Arial" w:eastAsia="Arial" w:hAnsi="Arial"/>
          <w:sz w:val="12"/>
          <w:szCs w:val="12"/>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22" w:lineRule="exact"/>
        <w:rPr>
          <w:sz w:val="20"/>
          <w:szCs w:val="20"/>
          <w:color w:val="auto"/>
        </w:rPr>
      </w:pPr>
    </w:p>
    <w:p>
      <w:pPr>
        <w:ind w:right="140" w:firstLine="592"/>
        <w:spacing w:after="0" w:line="263" w:lineRule="auto"/>
        <w:rPr>
          <w:sz w:val="20"/>
          <w:szCs w:val="20"/>
          <w:color w:val="auto"/>
        </w:rPr>
      </w:pPr>
      <w:r>
        <w:rPr>
          <w:rFonts w:ascii="Arial" w:cs="Arial" w:eastAsia="Arial" w:hAnsi="Arial"/>
          <w:sz w:val="12"/>
          <w:szCs w:val="12"/>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FDA Approval Process</w:t>
      </w:r>
    </w:p>
    <w:p>
      <w:pPr>
        <w:spacing w:after="0" w:line="78" w:lineRule="exact"/>
        <w:rPr>
          <w:sz w:val="20"/>
          <w:szCs w:val="20"/>
          <w:color w:val="auto"/>
        </w:rPr>
      </w:pPr>
    </w:p>
    <w:p>
      <w:pPr>
        <w:ind w:firstLine="592"/>
        <w:spacing w:after="0" w:line="254" w:lineRule="auto"/>
        <w:rPr>
          <w:sz w:val="20"/>
          <w:szCs w:val="20"/>
          <w:color w:val="auto"/>
        </w:rPr>
      </w:pPr>
      <w:r>
        <w:rPr>
          <w:rFonts w:ascii="Arial" w:cs="Arial" w:eastAsia="Arial" w:hAnsi="Arial"/>
          <w:sz w:val="12"/>
          <w:szCs w:val="12"/>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28"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In addition to obtaining FDA approval for our drug, the manufacturing facilities of the companies who manufacture our drugs for us must also be approved. These facilities are subject to periodic inspections by the FDA.</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FDA must also approve foreign establishments that manufacture products to be sold in the U.S. and these facilities are subject to periodic regulatory inspection.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0" w:name="page11"/>
    <w:bookmarkEnd w:id="10"/>
    <w:p>
      <w:pPr>
        <w:ind w:firstLine="592"/>
        <w:spacing w:after="0" w:line="255" w:lineRule="auto"/>
        <w:rPr>
          <w:sz w:val="20"/>
          <w:szCs w:val="20"/>
          <w:color w:val="auto"/>
        </w:rPr>
      </w:pPr>
      <w:r>
        <w:rPr>
          <w:rFonts w:ascii="Arial" w:cs="Arial" w:eastAsia="Arial" w:hAnsi="Arial"/>
          <w:sz w:val="12"/>
          <w:szCs w:val="12"/>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28" w:lineRule="exact"/>
        <w:rPr>
          <w:sz w:val="20"/>
          <w:szCs w:val="20"/>
          <w:color w:val="auto"/>
        </w:rPr>
      </w:pPr>
    </w:p>
    <w:p>
      <w:pPr>
        <w:ind w:right="400" w:firstLine="592"/>
        <w:spacing w:after="0" w:line="276" w:lineRule="auto"/>
        <w:rPr>
          <w:sz w:val="20"/>
          <w:szCs w:val="20"/>
          <w:color w:val="auto"/>
        </w:rPr>
      </w:pPr>
      <w:r>
        <w:rPr>
          <w:rFonts w:ascii="Arial" w:cs="Arial" w:eastAsia="Arial" w:hAnsi="Arial"/>
          <w:sz w:val="12"/>
          <w:szCs w:val="12"/>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15" w:lineRule="exact"/>
        <w:rPr>
          <w:sz w:val="20"/>
          <w:szCs w:val="20"/>
          <w:color w:val="auto"/>
        </w:rPr>
      </w:pPr>
    </w:p>
    <w:p>
      <w:pPr>
        <w:ind w:right="240" w:firstLine="592"/>
        <w:spacing w:after="0" w:line="298" w:lineRule="auto"/>
        <w:rPr>
          <w:sz w:val="20"/>
          <w:szCs w:val="20"/>
          <w:color w:val="auto"/>
        </w:rPr>
      </w:pPr>
      <w:r>
        <w:rPr>
          <w:rFonts w:ascii="Arial" w:cs="Arial" w:eastAsia="Arial" w:hAnsi="Arial"/>
          <w:sz w:val="11"/>
          <w:szCs w:val="11"/>
          <w:color w:val="auto"/>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Ongoing Regulation</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15" w:lineRule="exact"/>
        <w:rPr>
          <w:sz w:val="20"/>
          <w:szCs w:val="20"/>
          <w:color w:val="auto"/>
        </w:rPr>
      </w:pPr>
    </w:p>
    <w:p>
      <w:pPr>
        <w:ind w:right="20" w:firstLine="592"/>
        <w:spacing w:after="0" w:line="259" w:lineRule="auto"/>
        <w:rPr>
          <w:sz w:val="20"/>
          <w:szCs w:val="20"/>
          <w:color w:val="auto"/>
        </w:rPr>
      </w:pPr>
      <w:r>
        <w:rPr>
          <w:rFonts w:ascii="Arial" w:cs="Arial" w:eastAsia="Arial" w:hAnsi="Arial"/>
          <w:sz w:val="12"/>
          <w:szCs w:val="12"/>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24" w:lineRule="exact"/>
        <w:rPr>
          <w:sz w:val="20"/>
          <w:szCs w:val="20"/>
          <w:color w:val="auto"/>
        </w:rPr>
      </w:pPr>
    </w:p>
    <w:p>
      <w:pPr>
        <w:ind w:right="20" w:firstLine="592"/>
        <w:spacing w:after="0" w:line="263" w:lineRule="auto"/>
        <w:rPr>
          <w:sz w:val="20"/>
          <w:szCs w:val="20"/>
          <w:color w:val="auto"/>
        </w:rPr>
      </w:pPr>
      <w:r>
        <w:rPr>
          <w:rFonts w:ascii="Arial" w:cs="Arial" w:eastAsia="Arial" w:hAnsi="Arial"/>
          <w:sz w:val="12"/>
          <w:szCs w:val="12"/>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50" w:lineRule="exact"/>
        <w:rPr>
          <w:sz w:val="20"/>
          <w:szCs w:val="20"/>
          <w:color w:val="auto"/>
        </w:rPr>
      </w:pPr>
    </w:p>
    <w:p>
      <w:pPr>
        <w:ind w:left="1160" w:hanging="583"/>
        <w:spacing w:after="0"/>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refusal of the FDA to approve pending applications or supplements to approved applications, or suspension or revocation of product approvals;</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1" w:name="page12"/>
    <w:bookmarkEnd w:id="11"/>
    <w:p>
      <w:pPr>
        <w:ind w:right="200" w:firstLine="592"/>
        <w:spacing w:after="0" w:line="259" w:lineRule="auto"/>
        <w:rPr>
          <w:sz w:val="20"/>
          <w:szCs w:val="20"/>
          <w:color w:val="auto"/>
        </w:rPr>
      </w:pPr>
      <w:r>
        <w:rPr>
          <w:rFonts w:ascii="Arial" w:cs="Arial" w:eastAsia="Arial" w:hAnsi="Arial"/>
          <w:sz w:val="12"/>
          <w:szCs w:val="12"/>
          <w:color w:val="auto"/>
        </w:rPr>
        <w:t>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24" w:lineRule="exact"/>
        <w:rPr>
          <w:sz w:val="20"/>
          <w:szCs w:val="20"/>
          <w:color w:val="auto"/>
        </w:rPr>
      </w:pPr>
    </w:p>
    <w:p>
      <w:pPr>
        <w:ind w:right="120" w:firstLine="592"/>
        <w:spacing w:after="0" w:line="289" w:lineRule="auto"/>
        <w:rPr>
          <w:sz w:val="20"/>
          <w:szCs w:val="20"/>
          <w:color w:val="auto"/>
        </w:rPr>
      </w:pPr>
      <w:r>
        <w:rPr>
          <w:rFonts w:ascii="Arial" w:cs="Arial" w:eastAsia="Arial" w:hAnsi="Arial"/>
          <w:sz w:val="11"/>
          <w:szCs w:val="11"/>
          <w:color w:val="auto"/>
        </w:rPr>
        <w:t>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Government Regulations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HIPAA and Other Privacy Laws</w:t>
      </w:r>
    </w:p>
    <w:p>
      <w:pPr>
        <w:spacing w:after="0" w:line="78" w:lineRule="exact"/>
        <w:rPr>
          <w:sz w:val="20"/>
          <w:szCs w:val="20"/>
          <w:color w:val="auto"/>
        </w:rPr>
      </w:pPr>
    </w:p>
    <w:p>
      <w:pPr>
        <w:ind w:right="20" w:firstLine="592"/>
        <w:spacing w:after="0" w:line="254" w:lineRule="auto"/>
        <w:rPr>
          <w:sz w:val="20"/>
          <w:szCs w:val="20"/>
          <w:color w:val="auto"/>
        </w:rPr>
      </w:pPr>
      <w:r>
        <w:rPr>
          <w:rFonts w:ascii="Arial" w:cs="Arial" w:eastAsia="Arial" w:hAnsi="Arial"/>
          <w:sz w:val="12"/>
          <w:szCs w:val="12"/>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30"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24"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Federal and State Billing and Fraud and Abuse Laws</w:t>
      </w:r>
    </w:p>
    <w:p>
      <w:pPr>
        <w:spacing w:after="0" w:line="78" w:lineRule="exact"/>
        <w:rPr>
          <w:sz w:val="20"/>
          <w:szCs w:val="20"/>
          <w:color w:val="auto"/>
        </w:rPr>
      </w:pPr>
    </w:p>
    <w:p>
      <w:pPr>
        <w:ind w:right="140" w:firstLine="592"/>
        <w:spacing w:after="0" w:line="276" w:lineRule="auto"/>
        <w:rPr>
          <w:sz w:val="20"/>
          <w:szCs w:val="20"/>
          <w:color w:val="auto"/>
        </w:rPr>
      </w:pPr>
      <w:r>
        <w:rPr>
          <w:rFonts w:ascii="Arial" w:cs="Arial" w:eastAsia="Arial" w:hAnsi="Arial"/>
          <w:sz w:val="12"/>
          <w:szCs w:val="12"/>
          <w:i w:val="1"/>
          <w:iCs w:val="1"/>
          <w:color w:val="auto"/>
        </w:rPr>
        <w:t>Antifraud Laws/Overpayments</w:t>
      </w:r>
      <w:r>
        <w:rPr>
          <w:rFonts w:ascii="Arial" w:cs="Arial" w:eastAsia="Arial" w:hAnsi="Arial"/>
          <w:sz w:val="12"/>
          <w:szCs w:val="12"/>
          <w:color w:val="auto"/>
        </w:rPr>
        <w:t>. As participants in federal and state healthcare programs, we are subject to numerous federal and state antifraud and abuse laws. Many of these antifraud laws are broad in scope, and neither</w:t>
      </w:r>
      <w:r>
        <w:rPr>
          <w:rFonts w:ascii="Arial" w:cs="Arial" w:eastAsia="Arial" w:hAnsi="Arial"/>
          <w:sz w:val="12"/>
          <w:szCs w:val="12"/>
          <w:i w:val="1"/>
          <w:iCs w:val="1"/>
          <w:color w:val="auto"/>
        </w:rPr>
        <w:t xml:space="preserve"> </w:t>
      </w:r>
      <w:r>
        <w:rPr>
          <w:rFonts w:ascii="Arial" w:cs="Arial" w:eastAsia="Arial" w:hAnsi="Arial"/>
          <w:sz w:val="12"/>
          <w:szCs w:val="12"/>
          <w:color w:val="auto"/>
        </w:rPr>
        <w:t>the courts nor government agencies have extensively interpreted these laws. Prohibitions under some of these laws include:</w:t>
      </w:r>
    </w:p>
    <w:p>
      <w:pPr>
        <w:spacing w:after="0" w:line="43" w:lineRule="exact"/>
        <w:rPr>
          <w:sz w:val="20"/>
          <w:szCs w:val="20"/>
          <w:color w:val="auto"/>
        </w:rPr>
      </w:pPr>
    </w:p>
    <w:p>
      <w:pPr>
        <w:ind w:left="1160" w:hanging="583"/>
        <w:spacing w:after="0"/>
        <w:tabs>
          <w:tab w:leader="none" w:pos="1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submission, or causing the submission of, false claims or false information to government programs;</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deceptive or fraudulent conduct;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37" w:right="319" w:bottom="1440" w:gutter="0" w:footer="0" w:header="0"/>
        </w:sectPr>
      </w:pPr>
    </w:p>
    <w:bookmarkStart w:id="12" w:name="page13"/>
    <w:bookmarkEnd w:id="12"/>
    <w:p>
      <w:pPr>
        <w:ind w:left="1160" w:hanging="583"/>
        <w:spacing w:after="0"/>
        <w:tabs>
          <w:tab w:leader="none" w:pos="1160" w:val="left"/>
        </w:tabs>
        <w:numPr>
          <w:ilvl w:val="0"/>
          <w:numId w:val="7"/>
        </w:numPr>
        <w:rPr>
          <w:rFonts w:ascii="Arial" w:cs="Arial" w:eastAsia="Arial" w:hAnsi="Arial"/>
          <w:sz w:val="12"/>
          <w:szCs w:val="12"/>
          <w:color w:val="auto"/>
        </w:rPr>
      </w:pPr>
      <w:r>
        <w:rPr>
          <w:rFonts w:ascii="Arial" w:cs="Arial" w:eastAsia="Arial" w:hAnsi="Arial"/>
          <w:sz w:val="12"/>
          <w:szCs w:val="12"/>
          <w:color w:val="auto"/>
        </w:rPr>
        <w:t>performing medically unnecessary procedures; and</w:t>
      </w:r>
    </w:p>
    <w:p>
      <w:pPr>
        <w:spacing w:after="0" w:line="96" w:lineRule="exact"/>
        <w:rPr>
          <w:rFonts w:ascii="Arial" w:cs="Arial" w:eastAsia="Arial" w:hAnsi="Arial"/>
          <w:sz w:val="12"/>
          <w:szCs w:val="12"/>
          <w:color w:val="auto"/>
        </w:rPr>
      </w:pPr>
    </w:p>
    <w:p>
      <w:pPr>
        <w:ind w:left="1160" w:hanging="583"/>
        <w:spacing w:after="0"/>
        <w:tabs>
          <w:tab w:leader="none" w:pos="116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prohibitions in defrauding private sector health insurers.</w:t>
      </w:r>
    </w:p>
    <w:p>
      <w:pPr>
        <w:spacing w:after="0" w:line="168" w:lineRule="exact"/>
        <w:rPr>
          <w:sz w:val="20"/>
          <w:szCs w:val="20"/>
          <w:color w:val="auto"/>
        </w:rPr>
      </w:pPr>
    </w:p>
    <w:p>
      <w:pPr>
        <w:ind w:right="20" w:firstLine="592"/>
        <w:spacing w:after="0" w:line="280" w:lineRule="auto"/>
        <w:rPr>
          <w:sz w:val="20"/>
          <w:szCs w:val="20"/>
          <w:color w:val="auto"/>
        </w:rPr>
      </w:pPr>
      <w:r>
        <w:rPr>
          <w:rFonts w:ascii="Arial" w:cs="Arial" w:eastAsia="Arial" w:hAnsi="Arial"/>
          <w:sz w:val="11"/>
          <w:szCs w:val="11"/>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$11,665 to $23,331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15" w:lineRule="exact"/>
        <w:rPr>
          <w:sz w:val="20"/>
          <w:szCs w:val="20"/>
          <w:color w:val="auto"/>
        </w:rPr>
      </w:pPr>
    </w:p>
    <w:p>
      <w:pPr>
        <w:ind w:right="180" w:firstLine="592"/>
        <w:spacing w:after="0" w:line="276" w:lineRule="auto"/>
        <w:rPr>
          <w:sz w:val="20"/>
          <w:szCs w:val="20"/>
          <w:color w:val="auto"/>
        </w:rPr>
      </w:pPr>
      <w:r>
        <w:rPr>
          <w:rFonts w:ascii="Arial" w:cs="Arial" w:eastAsia="Arial" w:hAnsi="Arial"/>
          <w:sz w:val="12"/>
          <w:szCs w:val="12"/>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Federal and State “Self-Referral” and “Anti-Kickback” Restrictions</w:t>
      </w:r>
    </w:p>
    <w:p>
      <w:pPr>
        <w:spacing w:after="0" w:line="78" w:lineRule="exact"/>
        <w:rPr>
          <w:sz w:val="20"/>
          <w:szCs w:val="20"/>
          <w:color w:val="auto"/>
        </w:rPr>
      </w:pPr>
    </w:p>
    <w:p>
      <w:pPr>
        <w:ind w:firstLine="592"/>
        <w:spacing w:after="0" w:line="256" w:lineRule="auto"/>
        <w:rPr>
          <w:sz w:val="20"/>
          <w:szCs w:val="20"/>
          <w:color w:val="auto"/>
        </w:rPr>
      </w:pPr>
      <w:r>
        <w:rPr>
          <w:rFonts w:ascii="Arial" w:cs="Arial" w:eastAsia="Arial" w:hAnsi="Arial"/>
          <w:sz w:val="12"/>
          <w:szCs w:val="12"/>
          <w:i w:val="1"/>
          <w:iCs w:val="1"/>
          <w:color w:val="auto"/>
        </w:rPr>
        <w:t>Self-Referral law</w:t>
      </w:r>
      <w:r>
        <w:rPr>
          <w:rFonts w:ascii="Arial" w:cs="Arial" w:eastAsia="Arial" w:hAnsi="Arial"/>
          <w:sz w:val="12"/>
          <w:szCs w:val="12"/>
          <w:color w:val="auto"/>
        </w:rPr>
        <w:t>. We are subject to a federal “self-referral” law, commonly referred to as the “Stark” law, which provides that physicians who, personally or through a family member, have ownership interests in or</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28" w:lineRule="exact"/>
        <w:rPr>
          <w:sz w:val="20"/>
          <w:szCs w:val="20"/>
          <w:color w:val="auto"/>
        </w:rPr>
      </w:pPr>
    </w:p>
    <w:p>
      <w:pPr>
        <w:ind w:firstLine="592"/>
        <w:spacing w:after="0" w:line="298" w:lineRule="auto"/>
        <w:rPr>
          <w:sz w:val="20"/>
          <w:szCs w:val="20"/>
          <w:color w:val="auto"/>
        </w:rPr>
      </w:pPr>
      <w:r>
        <w:rPr>
          <w:rFonts w:ascii="Arial" w:cs="Arial" w:eastAsia="Arial" w:hAnsi="Arial"/>
          <w:sz w:val="11"/>
          <w:szCs w:val="11"/>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05" w:lineRule="exact"/>
        <w:rPr>
          <w:sz w:val="20"/>
          <w:szCs w:val="20"/>
          <w:color w:val="auto"/>
        </w:rPr>
      </w:pPr>
    </w:p>
    <w:p>
      <w:pPr>
        <w:ind w:right="160" w:firstLine="592"/>
        <w:spacing w:after="0" w:line="276" w:lineRule="auto"/>
        <w:rPr>
          <w:sz w:val="20"/>
          <w:szCs w:val="20"/>
          <w:color w:val="auto"/>
        </w:rPr>
      </w:pPr>
      <w:r>
        <w:rPr>
          <w:rFonts w:ascii="Arial" w:cs="Arial" w:eastAsia="Arial" w:hAnsi="Arial"/>
          <w:sz w:val="12"/>
          <w:szCs w:val="12"/>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w:t>
      </w:r>
    </w:p>
    <w:p>
      <w:pPr>
        <w:spacing w:after="0" w:line="115"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$11,665 to $23,331 for each separate false claim. Similarly, sanctions for violations under the North Carolina self-referral laws include refunds and monetary penalties.</w:t>
      </w:r>
    </w:p>
    <w:p>
      <w:pPr>
        <w:spacing w:after="0" w:line="124" w:lineRule="exact"/>
        <w:rPr>
          <w:sz w:val="20"/>
          <w:szCs w:val="20"/>
          <w:color w:val="auto"/>
        </w:rPr>
      </w:pPr>
    </w:p>
    <w:p>
      <w:pPr>
        <w:ind w:right="360" w:firstLine="592"/>
        <w:spacing w:after="0" w:line="276" w:lineRule="auto"/>
        <w:rPr>
          <w:sz w:val="20"/>
          <w:szCs w:val="20"/>
          <w:color w:val="auto"/>
        </w:rPr>
      </w:pPr>
      <w:r>
        <w:rPr>
          <w:rFonts w:ascii="Arial" w:cs="Arial" w:eastAsia="Arial" w:hAnsi="Arial"/>
          <w:sz w:val="12"/>
          <w:szCs w:val="12"/>
          <w:i w:val="1"/>
          <w:iCs w:val="1"/>
          <w:color w:val="auto"/>
        </w:rPr>
        <w:t>Anti-Kickback Statute</w:t>
      </w:r>
      <w:r>
        <w:rPr>
          <w:rFonts w:ascii="Arial" w:cs="Arial" w:eastAsia="Arial" w:hAnsi="Arial"/>
          <w:sz w:val="12"/>
          <w:szCs w:val="12"/>
          <w:color w:val="auto"/>
        </w:rPr>
        <w:t>. The federal Anti-Kickback Statute prohibits persons from knowingly and willfully soliciting, receiving, offering or paying remuneration, directly or indirectly, to induce either the referral of an</w:t>
      </w:r>
      <w:r>
        <w:rPr>
          <w:rFonts w:ascii="Arial" w:cs="Arial" w:eastAsia="Arial" w:hAnsi="Arial"/>
          <w:sz w:val="12"/>
          <w:szCs w:val="12"/>
          <w:i w:val="1"/>
          <w:iCs w:val="1"/>
          <w:color w:val="auto"/>
        </w:rPr>
        <w:t xml:space="preserve"> </w:t>
      </w:r>
      <w:r>
        <w:rPr>
          <w:rFonts w:ascii="Arial" w:cs="Arial" w:eastAsia="Arial" w:hAnsi="Arial"/>
          <w:sz w:val="12"/>
          <w:szCs w:val="12"/>
          <w:color w:val="auto"/>
        </w:rPr>
        <w:t>individual, or the furnishing, recommending, or arranging for a good or service, for which payment may be made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2"/>
          <w:szCs w:val="12"/>
          <w:color w:val="auto"/>
        </w:rPr>
        <w:t>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28" w:lineRule="exact"/>
        <w:rPr>
          <w:sz w:val="20"/>
          <w:szCs w:val="20"/>
          <w:color w:val="auto"/>
        </w:rPr>
      </w:pPr>
    </w:p>
    <w:p>
      <w:pPr>
        <w:ind w:right="100" w:firstLine="592"/>
        <w:spacing w:after="0" w:line="263" w:lineRule="auto"/>
        <w:rPr>
          <w:sz w:val="20"/>
          <w:szCs w:val="20"/>
          <w:color w:val="auto"/>
        </w:rPr>
      </w:pPr>
      <w:r>
        <w:rPr>
          <w:rFonts w:ascii="Arial" w:cs="Arial" w:eastAsia="Arial" w:hAnsi="Arial"/>
          <w:sz w:val="12"/>
          <w:szCs w:val="12"/>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22" w:lineRule="exact"/>
        <w:rPr>
          <w:sz w:val="20"/>
          <w:szCs w:val="20"/>
          <w:color w:val="auto"/>
        </w:rPr>
      </w:pPr>
    </w:p>
    <w:p>
      <w:pPr>
        <w:ind w:right="60" w:firstLine="592"/>
        <w:spacing w:after="0" w:line="263" w:lineRule="auto"/>
        <w:rPr>
          <w:sz w:val="20"/>
          <w:szCs w:val="20"/>
          <w:color w:val="auto"/>
        </w:rPr>
      </w:pPr>
      <w:r>
        <w:rPr>
          <w:rFonts w:ascii="Arial" w:cs="Arial" w:eastAsia="Arial" w:hAnsi="Arial"/>
          <w:sz w:val="12"/>
          <w:szCs w:val="12"/>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12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15" w:lineRule="exact"/>
        <w:rPr>
          <w:sz w:val="20"/>
          <w:szCs w:val="20"/>
          <w:color w:val="auto"/>
        </w:rPr>
      </w:pPr>
    </w:p>
    <w:p>
      <w:pPr>
        <w:ind w:right="40" w:firstLine="592"/>
        <w:spacing w:after="0" w:line="316" w:lineRule="auto"/>
        <w:rPr>
          <w:sz w:val="20"/>
          <w:szCs w:val="20"/>
          <w:color w:val="auto"/>
        </w:rPr>
      </w:pPr>
      <w:r>
        <w:rPr>
          <w:rFonts w:ascii="Arial" w:cs="Arial" w:eastAsia="Arial" w:hAnsi="Arial"/>
          <w:sz w:val="10"/>
          <w:szCs w:val="10"/>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U.S. Healthcare Reform</w:t>
      </w:r>
    </w:p>
    <w:p>
      <w:pPr>
        <w:spacing w:after="0" w:line="78" w:lineRule="exact"/>
        <w:rPr>
          <w:sz w:val="20"/>
          <w:szCs w:val="20"/>
          <w:color w:val="auto"/>
        </w:rPr>
      </w:pPr>
    </w:p>
    <w:p>
      <w:pPr>
        <w:ind w:firstLine="592"/>
        <w:spacing w:after="0" w:line="298" w:lineRule="auto"/>
        <w:rPr>
          <w:sz w:val="20"/>
          <w:szCs w:val="20"/>
          <w:color w:val="auto"/>
        </w:rPr>
      </w:pPr>
      <w:r>
        <w:rPr>
          <w:rFonts w:ascii="Arial" w:cs="Arial" w:eastAsia="Arial" w:hAnsi="Arial"/>
          <w:sz w:val="11"/>
          <w:szCs w:val="11"/>
          <w:color w:val="auto"/>
        </w:rPr>
        <w:t>In March 2010, the PPACA was enacted, which includes measures that have or will significantly change the way healthcare is financed by both governmental and private insurers. Beginning in August 2013, the PPACA and its implementing regulations requires drug and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on an annual basis. Failure to make timely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4" w:name="page15"/>
    <w:bookmarkEnd w:id="14"/>
    <w:p>
      <w:pPr>
        <w:ind w:right="300"/>
        <w:spacing w:after="0" w:line="276" w:lineRule="auto"/>
        <w:rPr>
          <w:sz w:val="20"/>
          <w:szCs w:val="20"/>
          <w:color w:val="auto"/>
        </w:rPr>
      </w:pPr>
      <w:r>
        <w:rPr>
          <w:rFonts w:ascii="Arial" w:cs="Arial" w:eastAsia="Arial" w:hAnsi="Arial"/>
          <w:sz w:val="12"/>
          <w:szCs w:val="12"/>
          <w:color w:val="auto"/>
        </w:rPr>
        <w:t>reports to CMS can subject us to significant civil penalties.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The Foreign Corrupt Practices Act</w:t>
      </w:r>
    </w:p>
    <w:p>
      <w:pPr>
        <w:spacing w:after="0" w:line="78" w:lineRule="exact"/>
        <w:rPr>
          <w:sz w:val="20"/>
          <w:szCs w:val="20"/>
          <w:color w:val="auto"/>
        </w:rPr>
      </w:pPr>
    </w:p>
    <w:p>
      <w:pPr>
        <w:jc w:val="both"/>
        <w:ind w:right="40" w:firstLine="592"/>
        <w:spacing w:after="0" w:line="259" w:lineRule="auto"/>
        <w:rPr>
          <w:sz w:val="20"/>
          <w:szCs w:val="20"/>
          <w:color w:val="auto"/>
        </w:rPr>
      </w:pPr>
      <w:r>
        <w:rPr>
          <w:rFonts w:ascii="Arial" w:cs="Arial" w:eastAsia="Arial" w:hAnsi="Arial"/>
          <w:sz w:val="12"/>
          <w:szCs w:val="12"/>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Corporate Transactions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Joint Venture Agreement and Issuance of Shares by Capnia, Inc.</w:t>
      </w:r>
    </w:p>
    <w:p>
      <w:pPr>
        <w:spacing w:after="0" w:line="78" w:lineRule="exact"/>
        <w:rPr>
          <w:sz w:val="20"/>
          <w:szCs w:val="20"/>
          <w:color w:val="auto"/>
        </w:rPr>
      </w:pPr>
    </w:p>
    <w:p>
      <w:pPr>
        <w:ind w:firstLine="592"/>
        <w:spacing w:after="0" w:line="283" w:lineRule="auto"/>
        <w:rPr>
          <w:sz w:val="20"/>
          <w:szCs w:val="20"/>
          <w:color w:val="auto"/>
        </w:rPr>
      </w:pPr>
      <w:r>
        <w:rPr>
          <w:rFonts w:ascii="Arial" w:cs="Arial" w:eastAsia="Arial" w:hAnsi="Arial"/>
          <w:sz w:val="11"/>
          <w:szCs w:val="11"/>
          <w:color w:val="auto"/>
        </w:rPr>
        <w:t>In December 2017, we entered into a joint venture agreement, or Joint Venture Agreement, with OptAsia Healthcare Limited (OAHL), a Hong Kong company, with respect to our CoSense product by agreeing to sell shares of Capnia, Inc., our then wholly-owned subsidiary into which our CoSense business had been transferred, to OAHL. CoSense was based on our Sensalyze Technology Platform and received 510(k) clearances from the FDA and CE Mark certification in the E.U. Our entry into the joint venture resulted from a comprehensive review of strategic alternatives for our legacy products and product candidates following our transition to a primarily therapeutic drug product company. Under the terms of the Joint Venture Agreement, OAHL agreed to invest up to $2.2 million to purchase shares of our Capnia subsidiary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ours.</w:t>
      </w:r>
    </w:p>
    <w:p>
      <w:pPr>
        <w:spacing w:after="0" w:line="113" w:lineRule="exact"/>
        <w:rPr>
          <w:sz w:val="20"/>
          <w:szCs w:val="20"/>
          <w:color w:val="auto"/>
        </w:rPr>
      </w:pPr>
    </w:p>
    <w:p>
      <w:pPr>
        <w:jc w:val="both"/>
        <w:ind w:right="60" w:firstLine="592"/>
        <w:spacing w:after="0" w:line="298" w:lineRule="auto"/>
        <w:rPr>
          <w:sz w:val="20"/>
          <w:szCs w:val="20"/>
          <w:color w:val="auto"/>
        </w:rPr>
      </w:pPr>
      <w:r>
        <w:rPr>
          <w:rFonts w:ascii="Arial" w:cs="Arial" w:eastAsia="Arial" w:hAnsi="Arial"/>
          <w:sz w:val="11"/>
          <w:szCs w:val="11"/>
          <w:color w:val="auto"/>
        </w:rPr>
        <w:t>In October 2018, we determined and agreed that the cumulative investment made by OAHL exceeded $1.2 million during the quarter ended September 30, 2018. Accordingly, on October 16, 2018, Capnia issued 1,690,322 shares of its common stock to OAHL, representing 53% of its outstanding shares. After the issuance by Capnia, we no longer held a controlling interest in Capnia. The transfer of the 53% ownership stake resulted in the deconsolidation of Capnia from our financial statements and a $1.9 million gain recognized in the fourth quarter of 2018. Our remaining 47% investment in Capnia was then classified as an equity method investment.</w:t>
      </w:r>
    </w:p>
    <w:p>
      <w:pPr>
        <w:spacing w:after="0" w:line="105" w:lineRule="exact"/>
        <w:rPr>
          <w:sz w:val="20"/>
          <w:szCs w:val="20"/>
          <w:color w:val="auto"/>
        </w:rPr>
      </w:pPr>
    </w:p>
    <w:p>
      <w:pPr>
        <w:jc w:val="both"/>
        <w:ind w:right="60" w:firstLine="592"/>
        <w:spacing w:after="0" w:line="276" w:lineRule="auto"/>
        <w:rPr>
          <w:sz w:val="20"/>
          <w:szCs w:val="20"/>
          <w:color w:val="auto"/>
        </w:rPr>
      </w:pPr>
      <w:r>
        <w:rPr>
          <w:rFonts w:ascii="Arial" w:cs="Arial" w:eastAsia="Arial" w:hAnsi="Arial"/>
          <w:sz w:val="12"/>
          <w:szCs w:val="12"/>
          <w:color w:val="auto"/>
        </w:rPr>
        <w:t>In September 2019, we sold our remaining 47% investment in Capnia to Sinon Investments LLC, or Sinon, for a total purchase price of $0.5 million. Following the transaction, we have no interest remaining in Capnia and the previous joint venture agreement with OAHL has been terminated.</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03" w:right="359" w:bottom="1440" w:gutter="0" w:footer="0" w:header="0"/>
        </w:sectPr>
      </w:pPr>
    </w:p>
    <w:bookmarkStart w:id="15" w:name="page16"/>
    <w:bookmarkEnd w:id="15"/>
    <w:p>
      <w:pPr>
        <w:ind w:left="580"/>
        <w:spacing w:after="0"/>
        <w:rPr>
          <w:sz w:val="20"/>
          <w:szCs w:val="20"/>
          <w:color w:val="auto"/>
        </w:rPr>
      </w:pPr>
      <w:r>
        <w:rPr>
          <w:rFonts w:ascii="Arial" w:cs="Arial" w:eastAsia="Arial" w:hAnsi="Arial"/>
          <w:sz w:val="12"/>
          <w:szCs w:val="12"/>
          <w:b w:val="1"/>
          <w:bCs w:val="1"/>
          <w:i w:val="1"/>
          <w:iCs w:val="1"/>
          <w:color w:val="auto"/>
        </w:rPr>
        <w:t>2019 Public Offering</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On October 25, 2019, we sold 12,841,667 shares of common stock in an underwritten public offering at a price of $1.20 per share for net proceeds of $14.5 million.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2020 Public Offering</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On June 26, 2020, we sold 34,848,484 shares of common stock in an underwritten public offering at a price of $1.65 per share for net proceeds of $53.7 million.</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 and Human Capital</w:t>
      </w:r>
    </w:p>
    <w:p>
      <w:pPr>
        <w:spacing w:after="0" w:line="82" w:lineRule="exact"/>
        <w:rPr>
          <w:sz w:val="20"/>
          <w:szCs w:val="20"/>
          <w:color w:val="auto"/>
        </w:rPr>
      </w:pPr>
    </w:p>
    <w:p>
      <w:pPr>
        <w:ind w:right="360" w:firstLine="592"/>
        <w:spacing w:after="0" w:line="276" w:lineRule="auto"/>
        <w:rPr>
          <w:sz w:val="20"/>
          <w:szCs w:val="20"/>
          <w:color w:val="auto"/>
        </w:rPr>
      </w:pPr>
      <w:r>
        <w:rPr>
          <w:rFonts w:ascii="Arial" w:cs="Arial" w:eastAsia="Arial" w:hAnsi="Arial"/>
          <w:sz w:val="12"/>
          <w:szCs w:val="12"/>
          <w:color w:val="auto"/>
        </w:rPr>
        <w:t>As of December 31, 2020, we had 17 full-time employees and 14 full-time or part-time consultants providing services to us. None of our employees is represented by a labor union or covered by collective bargaining agreements. We consider our relationship with our employees to be good.</w:t>
      </w:r>
    </w:p>
    <w:p>
      <w:pPr>
        <w:spacing w:after="0" w:line="43" w:lineRule="exact"/>
        <w:rPr>
          <w:sz w:val="20"/>
          <w:szCs w:val="20"/>
          <w:color w:val="auto"/>
        </w:rPr>
      </w:pPr>
    </w:p>
    <w:p>
      <w:pPr>
        <w:ind w:right="80" w:firstLine="592"/>
        <w:spacing w:after="0" w:line="263" w:lineRule="auto"/>
        <w:rPr>
          <w:sz w:val="20"/>
          <w:szCs w:val="20"/>
          <w:color w:val="auto"/>
        </w:rPr>
      </w:pPr>
      <w:r>
        <w:rPr>
          <w:rFonts w:ascii="Arial" w:cs="Arial" w:eastAsia="Arial" w:hAnsi="Arial"/>
          <w:sz w:val="12"/>
          <w:szCs w:val="12"/>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and Available Information</w:t>
      </w:r>
    </w:p>
    <w:p>
      <w:pPr>
        <w:spacing w:after="0" w:line="82" w:lineRule="exact"/>
        <w:rPr>
          <w:sz w:val="20"/>
          <w:szCs w:val="20"/>
          <w:color w:val="auto"/>
        </w:rPr>
      </w:pPr>
    </w:p>
    <w:p>
      <w:pPr>
        <w:ind w:firstLine="592"/>
        <w:spacing w:after="0" w:line="289" w:lineRule="auto"/>
        <w:rPr>
          <w:sz w:val="20"/>
          <w:szCs w:val="20"/>
          <w:color w:val="auto"/>
        </w:rPr>
      </w:pPr>
      <w:r>
        <w:rPr>
          <w:rFonts w:ascii="Arial" w:cs="Arial" w:eastAsia="Arial" w:hAnsi="Arial"/>
          <w:sz w:val="11"/>
          <w:szCs w:val="11"/>
          <w:color w:val="auto"/>
        </w:rPr>
        <w:t>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82" w:lineRule="exact"/>
        <w:rPr>
          <w:sz w:val="20"/>
          <w:szCs w:val="20"/>
          <w:color w:val="auto"/>
        </w:rPr>
      </w:pPr>
    </w:p>
    <w:p>
      <w:pPr>
        <w:jc w:val="both"/>
        <w:ind w:right="180" w:firstLine="592"/>
        <w:spacing w:after="0" w:line="263" w:lineRule="auto"/>
        <w:rPr>
          <w:sz w:val="20"/>
          <w:szCs w:val="20"/>
          <w:color w:val="auto"/>
        </w:rPr>
      </w:pPr>
      <w:r>
        <w:rPr>
          <w:rFonts w:ascii="Arial" w:cs="Arial" w:eastAsia="Arial" w:hAnsi="Arial"/>
          <w:sz w:val="12"/>
          <w:szCs w:val="12"/>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19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82"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2"/>
          <w:szCs w:val="12"/>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Risk Factor</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43" w:lineRule="exact"/>
        <w:rPr>
          <w:sz w:val="20"/>
          <w:szCs w:val="20"/>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clinical-stage company with no approved products, which makes assessment of our future viability difficult;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dependent upon the success of DCCR, our sole therapeutic product candidate;</w:t>
      </w:r>
    </w:p>
    <w:p>
      <w:pPr>
        <w:spacing w:after="0" w:line="78" w:lineRule="exact"/>
        <w:rPr>
          <w:rFonts w:ascii="Arial" w:cs="Arial" w:eastAsia="Arial" w:hAnsi="Arial"/>
          <w:sz w:val="12"/>
          <w:szCs w:val="12"/>
          <w:color w:val="auto"/>
        </w:rPr>
      </w:pPr>
    </w:p>
    <w:p>
      <w:pPr>
        <w:ind w:left="1020" w:right="220" w:hanging="434"/>
        <w:spacing w:after="0" w:line="323" w:lineRule="auto"/>
        <w:tabs>
          <w:tab w:leader="none" w:pos="1020" w:val="left"/>
        </w:tabs>
        <w:numPr>
          <w:ilvl w:val="0"/>
          <w:numId w:val="8"/>
        </w:numPr>
        <w:rPr>
          <w:rFonts w:ascii="Arial" w:cs="Arial" w:eastAsia="Arial" w:hAnsi="Arial"/>
          <w:sz w:val="11"/>
          <w:szCs w:val="11"/>
          <w:color w:val="auto"/>
        </w:rPr>
      </w:pPr>
      <w:r>
        <w:rPr>
          <w:rFonts w:ascii="Arial" w:cs="Arial" w:eastAsia="Arial" w:hAnsi="Arial"/>
          <w:sz w:val="11"/>
          <w:szCs w:val="1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9" w:lineRule="exact"/>
        <w:rPr>
          <w:rFonts w:ascii="Arial" w:cs="Arial" w:eastAsia="Arial" w:hAnsi="Arial"/>
          <w:sz w:val="11"/>
          <w:szCs w:val="11"/>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fail to obtain regulatory approval for DCCR in the U.S. and E.U., our business will be harmed;</w:t>
      </w:r>
    </w:p>
    <w:p>
      <w:pPr>
        <w:spacing w:after="0" w:line="78" w:lineRule="exact"/>
        <w:rPr>
          <w:rFonts w:ascii="Arial" w:cs="Arial" w:eastAsia="Arial" w:hAnsi="Arial"/>
          <w:sz w:val="12"/>
          <w:szCs w:val="12"/>
          <w:color w:val="auto"/>
        </w:rPr>
      </w:pPr>
    </w:p>
    <w:p>
      <w:pPr>
        <w:ind w:left="1020" w:right="40" w:hanging="434"/>
        <w:spacing w:after="0" w:line="323" w:lineRule="auto"/>
        <w:tabs>
          <w:tab w:leader="none" w:pos="10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19" w:lineRule="exact"/>
        <w:rPr>
          <w:rFonts w:ascii="Arial" w:cs="Arial" w:eastAsia="Arial" w:hAnsi="Arial"/>
          <w:sz w:val="11"/>
          <w:szCs w:val="11"/>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successful in commercializing our approved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patent rights may prove to be an inadequate barrier to competition; and</w:t>
      </w:r>
    </w:p>
    <w:p>
      <w:pPr>
        <w:spacing w:after="0" w:line="78" w:lineRule="exact"/>
        <w:rPr>
          <w:rFonts w:ascii="Arial" w:cs="Arial" w:eastAsia="Arial" w:hAnsi="Arial"/>
          <w:sz w:val="12"/>
          <w:szCs w:val="12"/>
          <w:color w:val="auto"/>
        </w:rPr>
      </w:pPr>
    </w:p>
    <w:p>
      <w:pPr>
        <w:ind w:left="1020" w:right="80" w:hanging="434"/>
        <w:spacing w:after="0" w:line="263"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condition and capital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clinical-stage company with no approved products, which makes assessment of our future viability difficult.</w:t>
      </w:r>
    </w:p>
    <w:p>
      <w:pPr>
        <w:spacing w:after="0" w:line="5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potential to successfully develop product candidates, conduct clinical trials, manufacture our products on a commercial scale, obtain regulatory approval and profitably commercialize any approved products.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dependent upon the success of DCCR, our sole therapeutic product candidate.</w:t>
      </w:r>
    </w:p>
    <w:p>
      <w:pPr>
        <w:spacing w:after="0" w:line="7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50" w:lineRule="exact"/>
        <w:rPr>
          <w:sz w:val="20"/>
          <w:szCs w:val="20"/>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obtain a sufficiently broad label that would not unduly restrict patient access;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receipt of marketing approvals for DCCR in the U.S. and E.U.;</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building an infrastructure capable of supporting product sales, marketing, and distribution of DCCR in territories where we pursue commercialization directly;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establishing commercial manufacturing arrangements with third party manufacturers;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establishing commercial distribution agreements with third party distributors;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launching commercial sales of DCCR, if and when approved, whether alone or in collaboration with others;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acceptance of DCCR, if and when approved, by patients, the medical community, and third-party payers;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regulatory approval pathway that we pursue for DCCR in the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continued acceptable safety profile of DCCR following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protecting our rights in our intellectual property portfolio;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obtaining a commercially viable price for our products.</w:t>
      </w:r>
    </w:p>
    <w:p>
      <w:pPr>
        <w:spacing w:after="0" w:line="78" w:lineRule="exact"/>
        <w:rPr>
          <w:sz w:val="20"/>
          <w:szCs w:val="20"/>
          <w:color w:val="auto"/>
        </w:rPr>
      </w:pPr>
    </w:p>
    <w:p>
      <w:pPr>
        <w:jc w:val="both"/>
        <w:ind w:right="140"/>
        <w:spacing w:after="0" w:line="285" w:lineRule="auto"/>
        <w:rPr>
          <w:sz w:val="20"/>
          <w:szCs w:val="20"/>
          <w:color w:val="auto"/>
        </w:rPr>
      </w:pPr>
      <w:r>
        <w:rPr>
          <w:rFonts w:ascii="Arial" w:cs="Arial" w:eastAsia="Arial" w:hAnsi="Arial"/>
          <w:sz w:val="11"/>
          <w:szCs w:val="11"/>
          <w:color w:val="auto"/>
        </w:rPr>
        <w:t>If we do not achieve one or more of these factors in a timely manner or at all, we could experience significant delays or an inability to successfully commercialize DCCR, which would materially harm our business. For example, on November 12, 2020, pursuant to our request to the FDA, we held a Type C meeting with the FDA to provide an update on our DCCR clinical and development process. Following the meeting, on December 10, 2020, we received the FDA’s minutes for this meeting, which included their comments about the ability of our data to deliver substantial evidence of effectiveness and therefore the FDA did not rule out the need for us to conduct additional clinical trial(s). Notwithstanding these statements from the FDA, we remain optimistic that it may be possible to obtain regulatory approval of DCCR for use in PWS in the U.S. without any additional clinical trials; however, we cannot rule out the possibility that we will not be successful in convincing the FDA of our position and that the FDA will require us to do an additional clinical trial(s) before any such approval is granted.</w:t>
      </w:r>
    </w:p>
    <w:p>
      <w:pPr>
        <w:spacing w:after="0" w:line="7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5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have incurred significant operating losses since inception and continue to generate losses from operations. At December 31, 2020, we have an accumulated deficit of $182.4 million and our cash and cash equivalents balance was $49.2 million. We may need to raise additional capital, either through debt or equity financings to achieve our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76" w:right="31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2"/>
          <w:szCs w:val="12"/>
          <w:color w:val="auto"/>
        </w:rPr>
        <w:t>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52"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4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4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have generated limited product revenue and may never become profitable.</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50" w:lineRule="exact"/>
        <w:rPr>
          <w:sz w:val="20"/>
          <w:szCs w:val="20"/>
          <w:color w:val="auto"/>
        </w:rPr>
      </w:pPr>
    </w:p>
    <w:p>
      <w:pPr>
        <w:ind w:left="1020" w:hanging="434"/>
        <w:spacing w:after="0"/>
        <w:tabs>
          <w:tab w:leader="none" w:pos="10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develop a commercial organization capable of sales, marketing and distribution of any products for which we obtain marketing approval in markets where we intend to commercialize independently;</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achieve market acceptance of our current and future products, if any;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set a commercially viable price for our current and future products, if 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bookmarkStart w:id="19" w:name="page20"/>
    <w:bookmarkEnd w:id="19"/>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establish and maintain supply and manufacturing relationships with reliable third parties, and ensure adequate and legally compliant manufacturing to maintain that supply;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obtain coverage and adequate reimbursement from third-party payors, including government and private payors;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find suitable global and U.S. distribution partners to help us market, sell and distribute our products in other markets;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complete and submit applications to, and obtain regulatory approval from, foreign regulatory authorities;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complete development activities successfully and on a timely basis;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establish, maintain and protect our intellectual property rights and avoid third-party patent interference or patent infringement claims;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attract, hire and retain qualified personnel.</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22"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90"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43" w:lineRule="exact"/>
        <w:rPr>
          <w:sz w:val="20"/>
          <w:szCs w:val="20"/>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enroll patients in clinical trials and the timing of enrollment;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and risk of initiating sales and marketing activities;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timing and cost of, and level of investment in, research and development activities relating to our planned products, which will change from time to time;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manufacturing our products may vary depending on FDA and other regulatory requirements, the quantity of production and the terms of our agreements with manufacturers;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expenditures that we will or may incur to acquire or develop additional planned products and technologies;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0" w:name="page21"/>
    <w:bookmarkEnd w:id="20"/>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design, timing and outcomes of clinical studies;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in the competitive landscape of our industry, including consolidation among our competitors or potential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any delays in regulatory review or approval in the U.S. or globally, of any of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level of demand for our products may fluctuate significantly and be difficult to predict;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risk/benefit profile, cost and reimbursement policies with respect to our future products, if approved, and existing and potential future drugs that compete with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competition from existing and potential future offerings that compete with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commercialize our products inside and outside of the U.S., either independently or working with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establish and maintain collaborations, licensing or other arrangements;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adequately support future growth;</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potential unforeseen business disruptions that increase our costs or expenses;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changing and volatile global economic environment.</w:t>
      </w:r>
    </w:p>
    <w:p>
      <w:pPr>
        <w:spacing w:after="0" w:line="78"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engage in strategic transactions that could impact our liquidity, increase our expenses and present significant distractions to our management.</w:t>
      </w:r>
    </w:p>
    <w:p>
      <w:pPr>
        <w:spacing w:after="0" w:line="78"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39" w:lineRule="exact"/>
        <w:rPr>
          <w:sz w:val="20"/>
          <w:szCs w:val="20"/>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exposure to unknown and contingent liabilities;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disruption of our business and diversion of our management’s time and attention in order to develop acquired products, product candidates or technologies;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incurrence of substantial debt or dilutive issuances of equity securities to pay for acquisitions;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higher than expected acquisition and integration costs;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and likelihood of payment of milestones or royalties;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write-downs of assets or goodwill or impairment charges;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increased operating expenditures, including additional research, development and sales and marketing expenses;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21" w:name="page22"/>
    <w:bookmarkEnd w:id="21"/>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amortization expenses;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difficulty and cost in combining the operations and personnel of any acquired businesses with our operations and personnel;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impairment of relationships with key suppliers or customers of any acquired businesses due to changes in management and ownership.</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enter into strategic transactions on a timely basis or on acceptable terms, which may impact our development and commercialization plans.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development and commercialization of our products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commercializing our approved products</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56" w:lineRule="exact"/>
        <w:rPr>
          <w:sz w:val="20"/>
          <w:szCs w:val="20"/>
          <w:color w:val="auto"/>
        </w:rPr>
      </w:pPr>
    </w:p>
    <w:p>
      <w:pPr>
        <w:ind w:left="1020" w:hanging="434"/>
        <w:spacing w:after="0"/>
        <w:tabs>
          <w:tab w:leader="none" w:pos="10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outcomes of clinical utility studies of such products in collaboration with key thought leaders to demonstrate our products’ value in informing important medical decisions such as treatment selection;</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success of our distribution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whether healthcare providers believe such tests provide clinical utility;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whether the medical community accepts that such tests are sufficiently sensitive and specific to be meaningful in-patient care and treatment decisions;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 w:name="page23"/>
    <w:bookmarkEnd w:id="22"/>
    <w:p>
      <w:pPr>
        <w:ind w:left="1020" w:hanging="434"/>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whether hospital administrators, health insurers, government health programs and other payers will cover and pay for such tests and, if so, whether they will adequately reimburse us.</w:t>
      </w:r>
    </w:p>
    <w:p>
      <w:pPr>
        <w:spacing w:after="0" w:line="78" w:lineRule="exact"/>
        <w:rPr>
          <w:sz w:val="20"/>
          <w:szCs w:val="20"/>
          <w:color w:val="auto"/>
        </w:rPr>
      </w:pPr>
    </w:p>
    <w:p>
      <w:pPr>
        <w:jc w:val="both"/>
        <w:ind w:right="80"/>
        <w:spacing w:after="0" w:line="323" w:lineRule="auto"/>
        <w:rPr>
          <w:sz w:val="20"/>
          <w:szCs w:val="20"/>
          <w:color w:val="auto"/>
        </w:rPr>
      </w:pPr>
      <w:r>
        <w:rPr>
          <w:rFonts w:ascii="Arial" w:cs="Arial" w:eastAsia="Arial" w:hAnsi="Arial"/>
          <w:sz w:val="11"/>
          <w:szCs w:val="11"/>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56"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4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43" w:lineRule="exact"/>
        <w:rPr>
          <w:sz w:val="20"/>
          <w:szCs w:val="20"/>
          <w:color w:val="auto"/>
        </w:rPr>
      </w:pPr>
    </w:p>
    <w:p>
      <w:pPr>
        <w:jc w:val="both"/>
        <w:ind w:right="80"/>
        <w:spacing w:after="0" w:line="259" w:lineRule="auto"/>
        <w:rPr>
          <w:sz w:val="20"/>
          <w:szCs w:val="20"/>
          <w:color w:val="auto"/>
        </w:rPr>
      </w:pPr>
      <w:r>
        <w:rPr>
          <w:rFonts w:ascii="Arial" w:cs="Arial" w:eastAsia="Arial" w:hAnsi="Arial"/>
          <w:sz w:val="12"/>
          <w:szCs w:val="12"/>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Factors that may inhibit our efforts to commercialize DCCR on our own include:</w:t>
      </w:r>
    </w:p>
    <w:p>
      <w:pPr>
        <w:spacing w:after="0" w:line="78" w:lineRule="exact"/>
        <w:rPr>
          <w:sz w:val="20"/>
          <w:szCs w:val="20"/>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inability to recruit, train and retain adequate numbers of effective sales and marketing personnel;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inability of sales personnel to obtain access to or persuade adequate numbers of physicians to prescribe DCCR or any future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relative to companies with more extensive product lines;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efforts by our competitors to commercialize products at or about the time when our product candidates would be coming to market.</w:t>
      </w:r>
    </w:p>
    <w:p>
      <w:pPr>
        <w:spacing w:after="0" w:line="78"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physicians decide not to order our products in significant numbers, we may be unable to generate sufficient revenue to sustain our business.</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If our products do not continue to perform as expected, our operating results, reputation and business will suffer.</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69"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4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90" w:lineRule="exact"/>
        <w:rPr>
          <w:sz w:val="20"/>
          <w:szCs w:val="20"/>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clinical studies may produce negative or inconclusive results, and we may decide, or regulators may require us, to conduct additional clinical studies or abandon product development programs;</w:t>
      </w:r>
    </w:p>
    <w:p>
      <w:pPr>
        <w:spacing w:after="0" w:line="78" w:lineRule="exact"/>
        <w:rPr>
          <w:rFonts w:ascii="Arial" w:cs="Arial" w:eastAsia="Arial" w:hAnsi="Arial"/>
          <w:sz w:val="12"/>
          <w:szCs w:val="12"/>
          <w:color w:val="auto"/>
        </w:rPr>
      </w:pPr>
    </w:p>
    <w:p>
      <w:pPr>
        <w:ind w:left="1020" w:right="160" w:hanging="434"/>
        <w:spacing w:after="0" w:line="276" w:lineRule="auto"/>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cost of clinical studies or the manufacturing of our planned products may be greater than we anticipate;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third-party contractors may fail to comply with regulatory requirements or meet their contractual obligations to us in a timely manner, or at all;</w:t>
      </w:r>
    </w:p>
    <w:p>
      <w:pPr>
        <w:spacing w:after="0" w:line="78" w:lineRule="exact"/>
        <w:rPr>
          <w:rFonts w:ascii="Arial" w:cs="Arial" w:eastAsia="Arial" w:hAnsi="Arial"/>
          <w:sz w:val="12"/>
          <w:szCs w:val="12"/>
          <w:color w:val="auto"/>
        </w:rPr>
      </w:pPr>
    </w:p>
    <w:p>
      <w:pPr>
        <w:ind w:left="1020" w:right="460" w:hanging="434"/>
        <w:spacing w:after="0" w:line="276" w:lineRule="auto"/>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regulators may not approve our proposed clinical development plans;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regulators or independent institutional review boards (IRBs), may not authorize us or our investigators to commence a clinical study or conduct a clinical study at a prospective study site;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regulators or IRBs may require that we or our investigators suspend or terminate clinical research for various reasons, including noncompliance with regulatory requirements;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supply or quality of our planned products or other materials necessary to conduct clinical studies of our planned products may be insufficient or inadequate.</w:t>
      </w:r>
    </w:p>
    <w:p>
      <w:pPr>
        <w:spacing w:after="0" w:line="78"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43" w:lineRule="exact"/>
        <w:rPr>
          <w:sz w:val="20"/>
          <w:szCs w:val="20"/>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obtain approval for indications that are not as broad as intended;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24" w:name="page25"/>
    <w:bookmarkEnd w:id="24"/>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be subject to restrictions on how the product is distributed or used.</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obtain regulatory approval for DCCR in the U.S. and E.U., our business would be harmed.</w:t>
      </w:r>
    </w:p>
    <w:p>
      <w:pPr>
        <w:spacing w:after="0" w:line="78"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61"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43" w:lineRule="exact"/>
        <w:rPr>
          <w:sz w:val="20"/>
          <w:szCs w:val="20"/>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generate sufficient nonclinical, toxicology, or other in vivo or in vitro data, or clinical safety data to support the initiation or continuation of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obtain regulatory approval, or feedback on trial design, to commence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identify, recruit and train suitable clinical investigators;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reach agreement on acceptable terms with prospective contract research organizations (CROs), and clinical trial sites;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obtain and maintain IRB approval at each clinical trial site;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identify, recruit and enroll suitable patients to participate in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sufficient number of patients complete a trial and/or return for post-treatment follow-up;</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ensure clinical investigators observe trial protocol or continue to participate in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address any patient safety concerns that arise during the course of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address any conflicts or compliance with new or existing laws, rule, regulations or guidelines;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 w:name="page26"/>
    <w:bookmarkEnd w:id="25"/>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have a sufficient number of clinical trial sites to conduct the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timely manufacture sufficient quantities of product candidate suitable for use at the stage of clinical development;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raise sufficient capital to fund a trial.</w:t>
      </w:r>
    </w:p>
    <w:p>
      <w:pPr>
        <w:spacing w:after="0" w:line="78"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33"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8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43" w:lineRule="exact"/>
        <w:rPr>
          <w:sz w:val="20"/>
          <w:szCs w:val="20"/>
          <w:color w:val="auto"/>
        </w:rPr>
      </w:pPr>
    </w:p>
    <w:p>
      <w:pPr>
        <w:ind w:right="240"/>
        <w:spacing w:after="0" w:line="289" w:lineRule="auto"/>
        <w:rPr>
          <w:sz w:val="20"/>
          <w:szCs w:val="20"/>
          <w:color w:val="auto"/>
        </w:rPr>
      </w:pPr>
      <w:r>
        <w:rPr>
          <w:rFonts w:ascii="Arial" w:cs="Arial" w:eastAsia="Arial" w:hAnsi="Arial"/>
          <w:sz w:val="11"/>
          <w:szCs w:val="11"/>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39" w:lineRule="exact"/>
        <w:rPr>
          <w:sz w:val="20"/>
          <w:szCs w:val="20"/>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inability to satisfactorily demonstrate that the product candidates are safe and effective for the requested indication;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FDA’s disagreement with our trial protocol or the interpretation of data from preclinical studies or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population studied in the clinical trial may not be sufficiently broad or representative to assess safety in the full population for which we seek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inability to demonstrate that clinical or other benefits of our product candidates outweigh any safety or other perceived risks;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FDA’s determination that additional preclinical or clinical trials are required;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FDA’s non-approval of the formulation, labeling or the specifications of our product candidates;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6" w:name="page27"/>
    <w:bookmarkEnd w:id="26"/>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FDA’s failure to accept the manufacturing processes or facilities of third-party manufacturers with which we contract;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potential for approval policies or regulations of the FDA to significantly change in a manner rendering our clinical data insufficient for approval.</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9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43"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50" w:lineRule="exact"/>
        <w:rPr>
          <w:sz w:val="20"/>
          <w:szCs w:val="20"/>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prevalence and severity of any side effects;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their effectiveness and potential advantages compared to alternative treatments;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price we charge for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willingness of physicians to change their current treatment practices;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convenience and ease of administration compared to alternative treatments;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strength or effectiveness of marketing and distribution support or partners;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availability of third-party coverage or reimbursement.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market opportunity for DCCR is smaller than we believe it is, then our revenues may be adversely affected, and our business may suffer.</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43" w:lineRule="exact"/>
        <w:rPr>
          <w:sz w:val="20"/>
          <w:szCs w:val="20"/>
          <w:color w:val="auto"/>
        </w:rPr>
      </w:pPr>
    </w:p>
    <w:p>
      <w:pPr>
        <w:ind w:right="200"/>
        <w:spacing w:after="0" w:line="289" w:lineRule="auto"/>
        <w:rPr>
          <w:sz w:val="20"/>
          <w:szCs w:val="20"/>
          <w:color w:val="auto"/>
        </w:rPr>
      </w:pPr>
      <w:r>
        <w:rPr>
          <w:rFonts w:ascii="Arial" w:cs="Arial" w:eastAsia="Arial" w:hAnsi="Arial"/>
          <w:sz w:val="11"/>
          <w:szCs w:val="11"/>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line="375" w:lineRule="auto"/>
        <w:rPr>
          <w:sz w:val="20"/>
          <w:szCs w:val="20"/>
          <w:color w:val="auto"/>
        </w:rPr>
      </w:pPr>
      <w:r>
        <w:rPr>
          <w:rFonts w:ascii="Arial" w:cs="Arial" w:eastAsia="Arial" w:hAnsi="Arial"/>
          <w:sz w:val="10"/>
          <w:szCs w:val="10"/>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1" w:lineRule="exact"/>
        <w:rPr>
          <w:sz w:val="20"/>
          <w:szCs w:val="20"/>
          <w:color w:val="auto"/>
        </w:rPr>
      </w:pPr>
    </w:p>
    <w:p>
      <w:pPr>
        <w:jc w:val="both"/>
        <w:ind w:right="180"/>
        <w:spacing w:after="0" w:line="298" w:lineRule="auto"/>
        <w:rPr>
          <w:sz w:val="20"/>
          <w:szCs w:val="20"/>
          <w:color w:val="auto"/>
        </w:rPr>
      </w:pPr>
      <w:r>
        <w:rPr>
          <w:rFonts w:ascii="Arial" w:cs="Arial" w:eastAsia="Arial" w:hAnsi="Arial"/>
          <w:sz w:val="11"/>
          <w:szCs w:val="11"/>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We may form strategic alliances, create joint ventures or collaborations, or enter into licensing agreements with third parties that we believe will more effectively provide resources to develop and commercialize our programs.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75" w:lineRule="exact"/>
        <w:rPr>
          <w:sz w:val="20"/>
          <w:szCs w:val="20"/>
          <w:color w:val="auto"/>
        </w:rPr>
      </w:pPr>
    </w:p>
    <w:p>
      <w:pPr>
        <w:ind w:right="620"/>
        <w:spacing w:after="0" w:line="276" w:lineRule="auto"/>
        <w:rPr>
          <w:sz w:val="20"/>
          <w:szCs w:val="20"/>
          <w:color w:val="auto"/>
        </w:rPr>
      </w:pPr>
      <w:r>
        <w:rPr>
          <w:rFonts w:ascii="Arial" w:cs="Arial" w:eastAsia="Arial" w:hAnsi="Arial"/>
          <w:sz w:val="12"/>
          <w:szCs w:val="12"/>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4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33" w:lineRule="exact"/>
        <w:rPr>
          <w:sz w:val="20"/>
          <w:szCs w:val="20"/>
          <w:color w:val="auto"/>
        </w:rPr>
      </w:pPr>
    </w:p>
    <w:p>
      <w:pPr>
        <w:ind w:left="1020" w:hanging="434"/>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forced to recall such product and suspend the marketing of such product;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regulatory authorities may withdraw their approvals of such product;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label that could diminish the usage or otherwise limit the commercial success of such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FDA or other regulatory bodies may issue safety alerts, Dear Healthcare Provider letters, press releases or other communications containing warnings about such product;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28" w:name="page29"/>
    <w:bookmarkEnd w:id="28"/>
    <w:p>
      <w:pPr>
        <w:ind w:left="1020" w:right="20" w:hanging="434"/>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be required to change the way the product is administered or conduct additional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subjects or patients;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be subject to litigation or product liability claims;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Any of these events could prevent us from achieving or maintaining market acceptance of the particular planned product, if approved.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competition, which may result in others discovering, developing or commercializing products before we do, or more successfully than we do.</w:t>
      </w:r>
    </w:p>
    <w:p>
      <w:pPr>
        <w:spacing w:after="0" w:line="78"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39"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There has recently been increased activity in the development of drugs to treat PWS. We are aware of seven other current or proposed clinical trials evaluating PWS therapies.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 rights may prove to be an inadequate barrier to competition.</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7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43"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jc w:val="both"/>
        <w:ind w:right="160"/>
        <w:spacing w:after="0" w:line="263" w:lineRule="auto"/>
        <w:rPr>
          <w:sz w:val="20"/>
          <w:szCs w:val="20"/>
          <w:color w:val="auto"/>
        </w:rPr>
      </w:pPr>
      <w:r>
        <w:rPr>
          <w:rFonts w:ascii="Arial" w:cs="Arial" w:eastAsia="Arial" w:hAnsi="Arial"/>
          <w:sz w:val="12"/>
          <w:szCs w:val="12"/>
          <w:color w:val="auto"/>
        </w:rPr>
        <w:t>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50"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4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56"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any products that we may develop.</w:t>
      </w:r>
    </w:p>
    <w:p>
      <w:pPr>
        <w:spacing w:after="0" w:line="7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50" w:lineRule="exact"/>
        <w:rPr>
          <w:sz w:val="20"/>
          <w:szCs w:val="20"/>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decreased demand for any planned products that we may develop;</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withdrawal of patients from clinical studies or cancellation of studies;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 and distraction to our management team;</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substantial monetary awards to patients;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loss of revenue;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0" w:name="page31"/>
    <w:bookmarkEnd w:id="30"/>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w:t>
      </w:r>
    </w:p>
    <w:p>
      <w:pPr>
        <w:spacing w:after="0" w:line="15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key members of our executive management team could adversely affect our business.</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4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90" w:lineRule="exact"/>
        <w:rPr>
          <w:sz w:val="20"/>
          <w:szCs w:val="20"/>
          <w:color w:val="auto"/>
        </w:rPr>
      </w:pPr>
    </w:p>
    <w:p>
      <w:pPr>
        <w:ind w:right="340"/>
        <w:spacing w:after="0" w:line="298" w:lineRule="auto"/>
        <w:rPr>
          <w:sz w:val="20"/>
          <w:szCs w:val="20"/>
          <w:color w:val="auto"/>
        </w:rPr>
      </w:pPr>
      <w:r>
        <w:rPr>
          <w:rFonts w:ascii="Arial" w:cs="Arial" w:eastAsia="Arial" w:hAnsi="Arial"/>
          <w:sz w:val="11"/>
          <w:szCs w:val="11"/>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6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43"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4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1" w:name="page32"/>
    <w:bookmarkEnd w:id="31"/>
    <w:p>
      <w:pPr>
        <w:spacing w:after="0" w:line="276" w:lineRule="auto"/>
        <w:rPr>
          <w:sz w:val="20"/>
          <w:szCs w:val="20"/>
          <w:color w:val="auto"/>
        </w:rPr>
      </w:pPr>
      <w:r>
        <w:rPr>
          <w:rFonts w:ascii="Arial" w:cs="Arial" w:eastAsia="Arial" w:hAnsi="Arial"/>
          <w:sz w:val="12"/>
          <w:szCs w:val="12"/>
          <w:color w:val="auto"/>
        </w:rPr>
        <w:t>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7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43" w:lineRule="exact"/>
        <w:rPr>
          <w:sz w:val="20"/>
          <w:szCs w:val="20"/>
          <w:color w:val="auto"/>
        </w:rPr>
      </w:pPr>
    </w:p>
    <w:p>
      <w:pPr>
        <w:ind w:left="1020" w:hanging="434"/>
        <w:spacing w:after="0"/>
        <w:tabs>
          <w:tab w:leader="none" w:pos="10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multiple, conflicting and changing laws and regulations such as tax laws, export and import restrictions, employment laws, regulatory requirements and other governmental approvals, permits and licenses;</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potential failure by us or our distributors to obtain regulatory approvals for the sale or use of our current products and our planned future products in various countries;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difficulties in managing foreign operations;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complexities associated with managing government payer systems, multiple payer-reimbursement regimes or self-pay systems;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logistics and regulations associated with shipping products, including infrastructure conditions and transportation delays;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limits on our ability to penetrate international markets if our distributors do not execute successfully;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enforcing contracts and collecting accounts receivable, and exposure to foreign currency exchange rate fluctuations;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 or lack of them in certain jurisdictions, forcing more reliance on our trade secrets, if available;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natural disasters, political and economic instability, including wars, terrorism and political unrest, outbreak of disease, boycotts, curtailment of trade and other business restrictions; and</w:t>
      </w:r>
    </w:p>
    <w:p>
      <w:pPr>
        <w:spacing w:after="0" w:line="78" w:lineRule="exact"/>
        <w:rPr>
          <w:rFonts w:ascii="Arial" w:cs="Arial" w:eastAsia="Arial" w:hAnsi="Arial"/>
          <w:sz w:val="12"/>
          <w:szCs w:val="12"/>
          <w:color w:val="auto"/>
        </w:rPr>
      </w:pPr>
    </w:p>
    <w:p>
      <w:pPr>
        <w:ind w:left="1020" w:right="420" w:hanging="434"/>
        <w:spacing w:after="0" w:line="276" w:lineRule="auto"/>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operation of our business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43"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Collaborations involving our products are subject to numerous risks, which may include the following:</w:t>
      </w:r>
    </w:p>
    <w:p>
      <w:pPr>
        <w:spacing w:after="0" w:line="78" w:lineRule="exact"/>
        <w:rPr>
          <w:sz w:val="20"/>
          <w:szCs w:val="20"/>
          <w:color w:val="auto"/>
        </w:rPr>
      </w:pPr>
    </w:p>
    <w:p>
      <w:pPr>
        <w:ind w:left="5580" w:right="4120" w:hanging="4994"/>
        <w:spacing w:after="0" w:line="526" w:lineRule="auto"/>
        <w:tabs>
          <w:tab w:leader="none" w:pos="1023"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any such collaborations;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894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32" w:name="page33"/>
    <w:bookmarkEnd w:id="32"/>
    <w:p>
      <w:pPr>
        <w:ind w:left="1020" w:right="360" w:hanging="434"/>
        <w:spacing w:after="0" w:line="323" w:lineRule="auto"/>
        <w:tabs>
          <w:tab w:leader="none" w:pos="10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19" w:lineRule="exact"/>
        <w:rPr>
          <w:rFonts w:ascii="Arial" w:cs="Arial" w:eastAsia="Arial" w:hAnsi="Arial"/>
          <w:sz w:val="11"/>
          <w:szCs w:val="11"/>
          <w:color w:val="auto"/>
        </w:rPr>
      </w:pPr>
    </w:p>
    <w:p>
      <w:pPr>
        <w:ind w:left="1020" w:right="360" w:hanging="434"/>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collaborator with marketing and distribution rights to one or more products may not commit sufficient resources to their marketing and distribution;</w:t>
      </w:r>
    </w:p>
    <w:p>
      <w:pPr>
        <w:spacing w:after="0" w:line="78" w:lineRule="exact"/>
        <w:rPr>
          <w:rFonts w:ascii="Arial" w:cs="Arial" w:eastAsia="Arial" w:hAnsi="Arial"/>
          <w:sz w:val="12"/>
          <w:szCs w:val="12"/>
          <w:color w:val="auto"/>
        </w:rPr>
      </w:pPr>
    </w:p>
    <w:p>
      <w:pPr>
        <w:ind w:left="1020" w:right="100" w:hanging="434"/>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2" w:lineRule="exact"/>
        <w:rPr>
          <w:rFonts w:ascii="Arial" w:cs="Arial" w:eastAsia="Arial" w:hAnsi="Arial"/>
          <w:sz w:val="12"/>
          <w:szCs w:val="12"/>
          <w:color w:val="auto"/>
        </w:rPr>
      </w:pPr>
    </w:p>
    <w:p>
      <w:pPr>
        <w:ind w:left="1020" w:right="140" w:hanging="434"/>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to pursue further development or commercialization of the applicable products; and</w:t>
      </w:r>
    </w:p>
    <w:p>
      <w:pPr>
        <w:spacing w:after="0" w:line="78" w:lineRule="exact"/>
        <w:rPr>
          <w:rFonts w:ascii="Arial" w:cs="Arial" w:eastAsia="Arial" w:hAnsi="Arial"/>
          <w:sz w:val="12"/>
          <w:szCs w:val="12"/>
          <w:color w:val="auto"/>
        </w:rPr>
      </w:pPr>
    </w:p>
    <w:p>
      <w:pPr>
        <w:ind w:left="1020" w:right="480" w:hanging="434"/>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Any termination or disruption of collaborations could result in delays in the development of products, increases in our costs to develop the products or the termination of development of a product.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As of December 31, 2020, we had 17 employees and 14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41" w:lineRule="exact"/>
        <w:rPr>
          <w:sz w:val="20"/>
          <w:szCs w:val="20"/>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managing our clinical trials effectively, which we anticipate being conducted at numerous clinical sites;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identifying, recruiting, maintaining, motivating and integrating additional employees with the expertise and experience we will require;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managing our internal development efforts effectively while complying with our contractual obligations to licensors, licensees, contractors and other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managing additional relationships with various strategic partners, suppliers and other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improving our managerial, development, operational and finance reporting systems and procedures;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expanding our facilities.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auto"/>
        </w:rPr>
        <w:t>Our failure to accomplish any of these tasks could prevent us from successfully growing. Any inability to manage growth could delay the execution of our business plans or disrupt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intend to commercialize our products outside the U.S., we will be subject to additional risks.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 variety of risks associated with international operations could materially adversely affect our business, including:</w:t>
      </w:r>
    </w:p>
    <w:p>
      <w:pPr>
        <w:spacing w:after="0" w:line="78" w:lineRule="exact"/>
        <w:rPr>
          <w:sz w:val="20"/>
          <w:szCs w:val="20"/>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different regulatory requirements for drug approvals in foreign countries;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unexpected changes in tariffs, trade barriers and regulatory requirements;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economic weakness, including inflation or political instability in particular foreign economies and markets;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compliance with tax, employment, immigration and labor laws for employees living or traveling abroad;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foreign taxes, including withholding of payroll taxes;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foreign currency fluctuations, which could result in increased operating expenses and reduced revenue, and other obligations incident to doing business in another country;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workforce uncertainty in countries where labor unrest is more common than in the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production shortages resulting from any events affecting raw material supply or manufacturing capabilities abroad;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business interruptions resulting from geopolitical actions, including war and terrorism, or natural disasters including earthquakes, typhoons, floods and fires.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90"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use biological and hazardous materials in a manner that causes injury, we could be liable for damages.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41"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9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Our success depends in large part on our ability to obtain and maintain patent and other intellectual property protection in the U.S. and in other countries with respect to our proprietary technology and products.</w:t>
      </w:r>
    </w:p>
    <w:p>
      <w:pPr>
        <w:spacing w:after="0" w:line="78"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be certain that we were the first to make the inventions claimed in our patents or pending patent applications, or that we or were the first to file for patent protection of such inventions.</w:t>
      </w:r>
    </w:p>
    <w:p>
      <w:pPr>
        <w:spacing w:after="0" w:line="78" w:lineRule="exact"/>
        <w:rPr>
          <w:sz w:val="20"/>
          <w:szCs w:val="20"/>
          <w:color w:val="auto"/>
        </w:rPr>
      </w:pPr>
    </w:p>
    <w:p>
      <w:pPr>
        <w:ind w:right="160"/>
        <w:spacing w:after="0" w:line="283" w:lineRule="auto"/>
        <w:rPr>
          <w:sz w:val="20"/>
          <w:szCs w:val="20"/>
          <w:color w:val="auto"/>
        </w:rPr>
      </w:pPr>
      <w:r>
        <w:rPr>
          <w:rFonts w:ascii="Arial" w:cs="Arial" w:eastAsia="Arial" w:hAnsi="Arial"/>
          <w:sz w:val="11"/>
          <w:szCs w:val="11"/>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4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scope, validity, enforceability, and commercial value of trademark rights are also uncertain. Pending and future trademark applications may not be successful. We do not currently have any trademark applications or registrations for drug name candidates.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legal proceedings to protect or enforce our intellectual property rights, which could be expensive, time-consuming, or unsuccessful.</w:t>
      </w:r>
    </w:p>
    <w:p>
      <w:pPr>
        <w:spacing w:after="0" w:line="78"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41"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Interference or derivation proceedings provoked by third parties or brought by the U.S. Patent and Trademark Office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58" w:lineRule="exact"/>
        <w:rPr>
          <w:sz w:val="20"/>
          <w:szCs w:val="20"/>
          <w:color w:val="auto"/>
        </w:rPr>
      </w:pPr>
    </w:p>
    <w:p>
      <w:pPr>
        <w:ind w:right="40"/>
        <w:spacing w:after="0" w:line="326" w:lineRule="auto"/>
        <w:rPr>
          <w:sz w:val="20"/>
          <w:szCs w:val="20"/>
          <w:color w:val="auto"/>
        </w:rPr>
      </w:pPr>
      <w:r>
        <w:rPr>
          <w:rFonts w:ascii="Arial" w:cs="Arial" w:eastAsia="Arial" w:hAnsi="Arial"/>
          <w:sz w:val="10"/>
          <w:szCs w:val="10"/>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or enforce our intellectual property rights throughout the world.</w:t>
      </w:r>
    </w:p>
    <w:p>
      <w:pPr>
        <w:spacing w:after="0" w:line="78"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78"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3" w:lineRule="exact"/>
        <w:rPr>
          <w:sz w:val="20"/>
          <w:szCs w:val="20"/>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others may be able to make products that are similar to our current and planned products, but that are not covered by claims in our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original filers of our patents that we developed or purchased might not have been the first to make the inventions covered by the claims contained in such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an invention;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pending patent applications may not lead to issued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issued patents may not provide us with any competitive advantages, or may be held invalid or unenforceable, as a result of legal challenges by our competitors;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39" w:right="339" w:bottom="1440" w:gutter="0" w:footer="0" w:header="0"/>
        </w:sectPr>
      </w:pPr>
    </w:p>
    <w:bookmarkStart w:id="37" w:name="page38"/>
    <w:bookmarkEnd w:id="37"/>
    <w:p>
      <w:pPr>
        <w:ind w:left="1020" w:right="20" w:hanging="434"/>
        <w:spacing w:after="0" w:line="276" w:lineRule="auto"/>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we may not develop or in-license additional proprietary technologies that are patentable;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Should any of these events occur, they could significantly harm our business, results of operations and prospects.</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1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77"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43"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56"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regulatory approval process is expensive, time consuming and uncertain, and may prevent us from obtaining approvals for our planned products.</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52" w:lineRule="exact"/>
        <w:rPr>
          <w:sz w:val="20"/>
          <w:szCs w:val="20"/>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warning letters;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civil or criminal penalties and fines;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injunctions;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suspension or withdrawal of regulatory approval;</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suspension of any ongoing clinical studies;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voluntary or mandatory product recalls and publicity requirements;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refusal to accept or approve applications for marketing approval of new drugs or biologics or supplements to approved applications filed by us;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restrictions on operations, including costly new manufacturing requirements; or</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seizure or detention of our products or import bans.</w:t>
      </w:r>
    </w:p>
    <w:p>
      <w:pPr>
        <w:spacing w:after="0" w:line="78" w:lineRule="exact"/>
        <w:rPr>
          <w:sz w:val="20"/>
          <w:szCs w:val="20"/>
          <w:color w:val="auto"/>
        </w:rPr>
      </w:pPr>
    </w:p>
    <w:p>
      <w:pPr>
        <w:jc w:val="both"/>
        <w:ind w:right="20"/>
        <w:spacing w:after="0" w:line="326" w:lineRule="auto"/>
        <w:rPr>
          <w:sz w:val="20"/>
          <w:szCs w:val="20"/>
          <w:color w:val="auto"/>
        </w:rPr>
      </w:pPr>
      <w:r>
        <w:rPr>
          <w:rFonts w:ascii="Arial" w:cs="Arial" w:eastAsia="Arial" w:hAnsi="Arial"/>
          <w:sz w:val="10"/>
          <w:szCs w:val="10"/>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52" w:lineRule="exact"/>
        <w:rPr>
          <w:sz w:val="20"/>
          <w:szCs w:val="20"/>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 planned product may not be deemed safe or effective;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FDA officials may not find the data from preclinical studies and clinical studies sufficient;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FDA might not approve our or our third-party manufacturer’s processes or facilities;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FDA may change its approval policies or adopt new regulations.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If any planned products fail to demonstrate safety and effectiveness in clinical studies or do not gain regulatory approval, our business and results of operations will be materially and adversely harmed.</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Nonclinical Testing</w:t>
      </w:r>
    </w:p>
    <w:p>
      <w:pPr>
        <w:spacing w:after="0" w:line="78"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Investigational New Drug Exemption Application (IND)</w:t>
      </w:r>
    </w:p>
    <w:p>
      <w:pPr>
        <w:spacing w:after="0" w:line="78" w:lineRule="exact"/>
        <w:rPr>
          <w:sz w:val="20"/>
          <w:szCs w:val="20"/>
          <w:color w:val="auto"/>
        </w:rPr>
      </w:pPr>
    </w:p>
    <w:p>
      <w:pPr>
        <w:jc w:val="both"/>
        <w:ind w:right="480"/>
        <w:spacing w:after="0" w:line="263" w:lineRule="auto"/>
        <w:rPr>
          <w:sz w:val="20"/>
          <w:szCs w:val="20"/>
          <w:color w:val="auto"/>
        </w:rPr>
      </w:pPr>
      <w:r>
        <w:rPr>
          <w:rFonts w:ascii="Arial" w:cs="Arial" w:eastAsia="Arial" w:hAnsi="Arial"/>
          <w:sz w:val="12"/>
          <w:szCs w:val="12"/>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Clinical Trials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These clinical trials involve three separate phases that often overlap, can take many years and are very expensive. These three phases, which are subject to considerable regulation, are as follows:</w:t>
      </w:r>
    </w:p>
    <w:p>
      <w:pPr>
        <w:spacing w:after="0" w:line="78" w:lineRule="exact"/>
        <w:rPr>
          <w:sz w:val="20"/>
          <w:szCs w:val="20"/>
          <w:color w:val="auto"/>
        </w:rPr>
      </w:pPr>
    </w:p>
    <w:p>
      <w:pPr>
        <w:ind w:left="1020" w:right="520" w:hanging="434"/>
        <w:spacing w:after="0" w:line="276" w:lineRule="auto"/>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42" w:lineRule="exact"/>
        <w:rPr>
          <w:rFonts w:ascii="Arial" w:cs="Arial" w:eastAsia="Arial" w:hAnsi="Arial"/>
          <w:sz w:val="12"/>
          <w:szCs w:val="12"/>
          <w:color w:val="auto"/>
        </w:rPr>
      </w:pPr>
    </w:p>
    <w:p>
      <w:pPr>
        <w:ind w:left="1020" w:right="140" w:hanging="434"/>
        <w:spacing w:after="0" w:line="276" w:lineRule="auto"/>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42" w:lineRule="exact"/>
        <w:rPr>
          <w:rFonts w:ascii="Arial" w:cs="Arial" w:eastAsia="Arial" w:hAnsi="Arial"/>
          <w:sz w:val="12"/>
          <w:szCs w:val="12"/>
          <w:color w:val="auto"/>
        </w:rPr>
      </w:pPr>
    </w:p>
    <w:p>
      <w:pPr>
        <w:ind w:left="1020" w:right="60" w:hanging="434"/>
        <w:spacing w:after="0" w:line="298" w:lineRule="auto"/>
        <w:tabs>
          <w:tab w:leader="none" w:pos="10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33"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2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FDA Approval Process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When we believe that the data from our clinical trials show an adequate level of safety and efficacy, we submit the application to market the drug for a particular use, normally a New Drug Application (NDA) with FDA. FDA may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40" w:name="page41"/>
    <w:bookmarkEnd w:id="40"/>
    <w:p>
      <w:pPr>
        <w:ind w:right="20"/>
        <w:spacing w:after="0" w:line="254" w:lineRule="auto"/>
        <w:rPr>
          <w:sz w:val="20"/>
          <w:szCs w:val="20"/>
          <w:color w:val="auto"/>
        </w:rPr>
      </w:pPr>
      <w:r>
        <w:rPr>
          <w:rFonts w:ascii="Arial" w:cs="Arial" w:eastAsia="Arial" w:hAnsi="Arial"/>
          <w:sz w:val="12"/>
          <w:szCs w:val="12"/>
          <w:color w:val="auto"/>
        </w:rPr>
        <w:t>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5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U.S. and these facilities are subject to periodic regulatory inspection.</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9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4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03" w:right="35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restrictions on that product, the manufacturer or us, including requiring withdrawal of the product from the market or suspension of manufacturing.</w:t>
      </w:r>
    </w:p>
    <w:p>
      <w:pPr>
        <w:spacing w:after="0" w:line="78" w:lineRule="exact"/>
        <w:rPr>
          <w:sz w:val="20"/>
          <w:szCs w:val="20"/>
          <w:color w:val="auto"/>
        </w:rPr>
      </w:pPr>
    </w:p>
    <w:p>
      <w:pPr>
        <w:ind w:right="200"/>
        <w:spacing w:after="0" w:line="375" w:lineRule="auto"/>
        <w:rPr>
          <w:sz w:val="20"/>
          <w:szCs w:val="20"/>
          <w:color w:val="auto"/>
        </w:rPr>
      </w:pPr>
      <w:r>
        <w:rPr>
          <w:rFonts w:ascii="Arial" w:cs="Arial" w:eastAsia="Arial" w:hAnsi="Arial"/>
          <w:sz w:val="10"/>
          <w:szCs w:val="10"/>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5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50" w:lineRule="exact"/>
        <w:rPr>
          <w:sz w:val="20"/>
          <w:szCs w:val="20"/>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refusal of the FDA to approve pending applications or supplements to approved applications, or suspension or revocation of product approvals;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43"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3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Failure to obtain marketing approvals in foreign jurisdictions will prevent us from marketing our products internationally.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We intend to seek distribution and marketing partners for our current products outside the U.S. and may market planned products in international markets.</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measures could hinder or prevent our planned products’ commercial success.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56" w:lineRule="exact"/>
        <w:rPr>
          <w:sz w:val="20"/>
          <w:szCs w:val="20"/>
          <w:color w:val="auto"/>
        </w:rPr>
      </w:pPr>
    </w:p>
    <w:p>
      <w:pPr>
        <w:ind w:left="1020" w:hanging="434"/>
        <w:spacing w:after="0"/>
        <w:tabs>
          <w:tab w:leader="none" w:pos="10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could result in the imposition of injunctions;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requires collection of rebates for drugs paid by Medicaid managed care organizations; and</w:t>
      </w:r>
    </w:p>
    <w:p>
      <w:pPr>
        <w:spacing w:after="0" w:line="78" w:lineRule="exact"/>
        <w:rPr>
          <w:rFonts w:ascii="Arial" w:cs="Arial" w:eastAsia="Arial" w:hAnsi="Arial"/>
          <w:sz w:val="12"/>
          <w:szCs w:val="12"/>
          <w:color w:val="auto"/>
        </w:rPr>
      </w:pPr>
    </w:p>
    <w:p>
      <w:pPr>
        <w:ind w:left="1020" w:hanging="434"/>
        <w:spacing w:after="0" w:line="276" w:lineRule="auto"/>
        <w:tabs>
          <w:tab w:leader="none" w:pos="10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43"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43" w:name="page44"/>
    <w:bookmarkEnd w:id="43"/>
    <w:p>
      <w:pPr>
        <w:ind w:right="80"/>
        <w:spacing w:after="0" w:line="323" w:lineRule="auto"/>
        <w:rPr>
          <w:sz w:val="20"/>
          <w:szCs w:val="20"/>
          <w:color w:val="auto"/>
        </w:rPr>
      </w:pPr>
      <w:r>
        <w:rPr>
          <w:rFonts w:ascii="Arial" w:cs="Arial" w:eastAsia="Arial" w:hAnsi="Arial"/>
          <w:sz w:val="11"/>
          <w:szCs w:val="11"/>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20" w:lineRule="exact"/>
        <w:rPr>
          <w:sz w:val="20"/>
          <w:szCs w:val="20"/>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ability to set a price that we believe is fair for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ability to generate revenue and achieve or maintain profitability;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availability of capital.</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healthcare regulations, we could face substantial penalties and our business, operations and financial condition could be adversely affected.</w:t>
      </w:r>
    </w:p>
    <w:p>
      <w:pPr>
        <w:spacing w:after="0" w:line="78"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50" w:lineRule="exact"/>
        <w:rPr>
          <w:sz w:val="20"/>
          <w:szCs w:val="20"/>
          <w:color w:val="auto"/>
        </w:rPr>
      </w:pPr>
    </w:p>
    <w:p>
      <w:pPr>
        <w:jc w:val="both"/>
        <w:ind w:left="1020" w:right="20" w:hanging="434"/>
        <w:spacing w:after="0" w:line="263" w:lineRule="auto"/>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50" w:lineRule="exact"/>
        <w:rPr>
          <w:rFonts w:ascii="Arial" w:cs="Arial" w:eastAsia="Arial" w:hAnsi="Arial"/>
          <w:sz w:val="12"/>
          <w:szCs w:val="12"/>
          <w:color w:val="auto"/>
        </w:rPr>
      </w:pPr>
    </w:p>
    <w:p>
      <w:pPr>
        <w:ind w:left="1020" w:right="260" w:hanging="434"/>
        <w:spacing w:after="0" w:line="276" w:lineRule="auto"/>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42" w:lineRule="exact"/>
        <w:rPr>
          <w:rFonts w:ascii="Arial" w:cs="Arial" w:eastAsia="Arial" w:hAnsi="Arial"/>
          <w:sz w:val="12"/>
          <w:szCs w:val="12"/>
          <w:color w:val="auto"/>
        </w:rPr>
      </w:pPr>
    </w:p>
    <w:p>
      <w:pPr>
        <w:ind w:left="1020" w:hanging="434"/>
        <w:spacing w:after="0" w:line="276" w:lineRule="auto"/>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federal criminal laws that prohibit executing a scheme to defraud any healthcare benefit program or making false statements relating to healthcare matters;</w:t>
      </w:r>
    </w:p>
    <w:p>
      <w:pPr>
        <w:spacing w:after="0" w:line="78" w:lineRule="exact"/>
        <w:rPr>
          <w:rFonts w:ascii="Arial" w:cs="Arial" w:eastAsia="Arial" w:hAnsi="Arial"/>
          <w:sz w:val="12"/>
          <w:szCs w:val="12"/>
          <w:color w:val="auto"/>
        </w:rPr>
      </w:pPr>
    </w:p>
    <w:p>
      <w:pPr>
        <w:ind w:left="1020" w:right="140" w:hanging="434"/>
        <w:spacing w:after="0" w:line="276" w:lineRule="auto"/>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44" w:name="page45"/>
    <w:bookmarkEnd w:id="44"/>
    <w:p>
      <w:pPr>
        <w:ind w:left="1020" w:right="140" w:hanging="434"/>
        <w:spacing w:after="0" w:line="276" w:lineRule="auto"/>
        <w:tabs>
          <w:tab w:leader="none" w:pos="10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state law equivalents of each of the above federal laws, such as anti-kickback and false claims laws which may apply to items or services reimbursed by any third-party payer, including commercial insurers.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be volatile, and purchasers of our securities could incur substantial losses.</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2020, through December 31, 2020, the high and low closing prices of our common stock ranged from $4.23 to $1.61. As a result of this volatility, investors may not be able to sell their common stock at or above the purchase price. The market price for our common stock may be influenced by many factors, including the following:</w:t>
      </w:r>
    </w:p>
    <w:p>
      <w:pPr>
        <w:spacing w:after="0" w:line="33" w:lineRule="exact"/>
        <w:rPr>
          <w:sz w:val="20"/>
          <w:szCs w:val="20"/>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results of our clinical trials and our ability to obtain regulatory approval of DCCR in Prader Willi Syndromeour clinical trials and our ability to obtain regulatory approval for DCCR;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ability to successfully commercialize, and realize significant revenues from sales of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success of competitive products or technologies;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results of other clinical studies of our products or those of our competitors;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regulatory or legal developments in the U.S. and other countries, especially changes in laws or regulations applicable to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introductions and announcements of new products by us, our commercialization partners, or our competitors, and the timing of these introductions or announcements;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actions taken by regulatory agencies with respect to our products, clinical studies, manufacturing process or sales and marketing terms;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variations in our financial results or those of companies that are perceived to be similar to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success of our efforts to acquire or in-license additional products or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developments concerning our collaborations, including but not limited to those with our sources of manufacturing supply and our commercialization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developments concerning our ability to bring our manufacturing processes to scale in a cost-effective manner;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acquisitions, strategic partnerships, joint ventures or capital commitments;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5" w:name="page46"/>
    <w:bookmarkEnd w:id="45"/>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developments or disputes concerning patents or other proprietary rights, including patents, litigation matters and our ability to obtain patent protection for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our ability or inability to raise additional capital and the terms on which we raise it;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actual or anticipated changes in earnings estimates or changes in stock market analyst recommendations regarding our common stock, other comparable companies or our industry generally;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general economic, industry and market conditions;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other risks described in this “Risk Factors” section.</w:t>
      </w:r>
    </w:p>
    <w:p>
      <w:pPr>
        <w:spacing w:after="0" w:line="7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or the perception that future sales may occur, may cause the market price of our common stock to decline, even if our business is doing well.</w:t>
      </w:r>
    </w:p>
    <w:p>
      <w:pPr>
        <w:spacing w:after="0" w:line="7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have prepared and filed a registration statement with the SEC to register for resale the 2018 Resale Shares. The registration statement was declared effective in April 2019.</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On October 25, 2019, we sold 12,841,667 shares of common stock in an underwritten public offering at a price of $1.20 per share for net proceeds of $14.5 million.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June 26, 2020, we sold 34,848,484 shares of common stock in an underwritten public offering at a price of $1.65 per share for net proceeds of $53.7 million.</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4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auto"/>
        </w:rPr>
        <w:t>approval of any merger, consolidation or sale of all or substantially all of our assets. This concentration of voting power could delay or prevent an acquisition of our company on terms that other stockholders may desire.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 forwards and certain other tax attributes will be limited.</w:t>
      </w:r>
    </w:p>
    <w:p>
      <w:pPr>
        <w:spacing w:after="0" w:line="78"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and June 2020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our warrant holders exercise their warrants into shares of our common stock, our stockholders will be diluted.</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79"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43" w:lineRule="exact"/>
        <w:rPr>
          <w:sz w:val="20"/>
          <w:szCs w:val="20"/>
          <w:color w:val="auto"/>
        </w:rPr>
      </w:pPr>
    </w:p>
    <w:p>
      <w:pPr>
        <w:spacing w:after="0" w:line="320" w:lineRule="auto"/>
        <w:rPr>
          <w:sz w:val="20"/>
          <w:szCs w:val="20"/>
          <w:color w:val="auto"/>
        </w:rPr>
      </w:pPr>
      <w:r>
        <w:rPr>
          <w:rFonts w:ascii="Arial" w:cs="Arial" w:eastAsia="Arial" w:hAnsi="Arial"/>
          <w:sz w:val="10"/>
          <w:szCs w:val="10"/>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Under certain circumstances we may be required to settle the value of the 2018 PIPE Warrants in cash.</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If, at any time while the 2018 PIPE Warrants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might not be able to maintain the listing of our securities on The NASDAQ Capital Market.</w:t>
      </w:r>
    </w:p>
    <w:p>
      <w:pPr>
        <w:spacing w:after="0" w:line="7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have listed our common stock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2"/>
          <w:szCs w:val="12"/>
          <w:color w:val="auto"/>
        </w:rPr>
        <w:t>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to the speculative nature of warrants, there is no guarantee that it will ever be profitable for holders of the warrants to exercise the warrants.</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Holders of the 2018 PIPE Warrants are entitled to purchase one share of our common stock at an exercise price equal to $2.00 per share prior to the expiration of the five-year term on December 21, 2023.</w:t>
      </w:r>
    </w:p>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There can be no assurance that the market price of the common stock will ever equal or exceed the exercise price of the warrants, and, consequently, whether it will ever be profitable for holders of the warrants to exercise the warrants.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56" w:lineRule="exact"/>
        <w:rPr>
          <w:sz w:val="20"/>
          <w:szCs w:val="20"/>
          <w:color w:val="auto"/>
        </w:rPr>
      </w:pPr>
    </w:p>
    <w:p>
      <w:pPr>
        <w:ind w:left="1020" w:hanging="434"/>
        <w:spacing w:after="0"/>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our Board is divided into three classes with staggered three-year terms which may delay or prevent a change of our management or a change in control;</w:t>
      </w:r>
    </w:p>
    <w:p>
      <w:pPr>
        <w:spacing w:after="0" w:line="78" w:lineRule="exact"/>
        <w:rPr>
          <w:rFonts w:ascii="Arial" w:cs="Arial" w:eastAsia="Arial" w:hAnsi="Arial"/>
          <w:sz w:val="12"/>
          <w:szCs w:val="12"/>
          <w:color w:val="auto"/>
        </w:rPr>
      </w:pPr>
    </w:p>
    <w:p>
      <w:pPr>
        <w:ind w:left="1020" w:right="100" w:hanging="434"/>
        <w:spacing w:after="0" w:line="276" w:lineRule="auto"/>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42" w:lineRule="exact"/>
        <w:rPr>
          <w:rFonts w:ascii="Arial" w:cs="Arial" w:eastAsia="Arial" w:hAnsi="Arial"/>
          <w:sz w:val="12"/>
          <w:szCs w:val="12"/>
          <w:color w:val="auto"/>
        </w:rPr>
      </w:pPr>
    </w:p>
    <w:p>
      <w:pPr>
        <w:ind w:left="1020" w:right="280" w:hanging="434"/>
        <w:spacing w:after="0" w:line="276" w:lineRule="auto"/>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our certificate of incorporation prohibits cumulative voting in the election of directors, which limits the ability of minority stockholders to elect director candidates;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amendments of our certificate of incorporation and bylaws require the approval of 66 2/3% of our outstanding voting securities;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bookmarkStart w:id="48" w:name="page49"/>
    <w:bookmarkEnd w:id="48"/>
    <w:p>
      <w:pPr>
        <w:ind w:left="1020" w:right="80" w:hanging="434"/>
        <w:spacing w:after="0" w:line="323" w:lineRule="auto"/>
        <w:tabs>
          <w:tab w:leader="none" w:pos="1020" w:val="left"/>
        </w:tabs>
        <w:numPr>
          <w:ilvl w:val="0"/>
          <w:numId w:val="49"/>
        </w:numPr>
        <w:rPr>
          <w:rFonts w:ascii="Arial" w:cs="Arial" w:eastAsia="Arial" w:hAnsi="Arial"/>
          <w:sz w:val="11"/>
          <w:szCs w:val="11"/>
          <w:color w:val="auto"/>
        </w:rPr>
      </w:pPr>
      <w:r>
        <w:rPr>
          <w:rFonts w:ascii="Arial" w:cs="Arial" w:eastAsia="Arial" w:hAnsi="Arial"/>
          <w:sz w:val="11"/>
          <w:szCs w:val="11"/>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9" w:lineRule="exact"/>
        <w:rPr>
          <w:rFonts w:ascii="Arial" w:cs="Arial" w:eastAsia="Arial" w:hAnsi="Arial"/>
          <w:sz w:val="11"/>
          <w:szCs w:val="11"/>
          <w:color w:val="auto"/>
        </w:rPr>
      </w:pPr>
    </w:p>
    <w:p>
      <w:pPr>
        <w:ind w:left="1020" w:right="80" w:hanging="434"/>
        <w:spacing w:after="0" w:line="276" w:lineRule="auto"/>
        <w:tabs>
          <w:tab w:leader="none" w:pos="10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43" w:lineRule="exact"/>
        <w:rPr>
          <w:sz w:val="20"/>
          <w:szCs w:val="20"/>
          <w:color w:val="auto"/>
        </w:rPr>
      </w:pPr>
    </w:p>
    <w:p>
      <w:pPr>
        <w:jc w:val="both"/>
        <w:ind w:right="120"/>
        <w:spacing w:after="0" w:line="340" w:lineRule="auto"/>
        <w:rPr>
          <w:sz w:val="20"/>
          <w:szCs w:val="20"/>
          <w:color w:val="auto"/>
        </w:rPr>
      </w:pPr>
      <w:r>
        <w:rPr>
          <w:rFonts w:ascii="Arial" w:cs="Arial" w:eastAsia="Arial" w:hAnsi="Arial"/>
          <w:sz w:val="10"/>
          <w:szCs w:val="10"/>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not paid dividends in the past and do not expect to pay dividends in the future, and, as a result, any return on investment may be limited to the value of our stock.</w:t>
      </w:r>
    </w:p>
    <w:p>
      <w:pPr>
        <w:spacing w:after="0" w:line="7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Intrusions into our computer systems could result in compromise of confidential information.</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43" w:lineRule="exact"/>
        <w:rPr>
          <w:sz w:val="20"/>
          <w:szCs w:val="20"/>
          <w:color w:val="auto"/>
        </w:rPr>
      </w:pPr>
    </w:p>
    <w:p>
      <w:pPr>
        <w:ind w:right="100"/>
        <w:spacing w:after="0" w:line="280" w:lineRule="auto"/>
        <w:rPr>
          <w:sz w:val="20"/>
          <w:szCs w:val="20"/>
          <w:color w:val="auto"/>
        </w:rPr>
      </w:pPr>
      <w:r>
        <w:rPr>
          <w:rFonts w:ascii="Arial" w:cs="Arial" w:eastAsia="Arial" w:hAnsi="Arial"/>
          <w:sz w:val="11"/>
          <w:szCs w:val="11"/>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ind w:right="240"/>
        <w:spacing w:after="0" w:line="298" w:lineRule="auto"/>
        <w:rPr>
          <w:sz w:val="20"/>
          <w:szCs w:val="20"/>
          <w:color w:val="auto"/>
        </w:rPr>
      </w:pPr>
      <w:r>
        <w:rPr>
          <w:rFonts w:ascii="Arial" w:cs="Arial" w:eastAsia="Arial" w:hAnsi="Arial"/>
          <w:sz w:val="11"/>
          <w:szCs w:val="11"/>
          <w:color w:val="auto"/>
        </w:rPr>
        <w:t>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Public health epidemics, pandemics or outbreaks, including the recent novel coronavirus pandemic (COVID-19), could adversely affect our business.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 December 2019, the novel coronavirus (COVID-19) was identified in Wuhan, China. The virus continues to spread globally, has been declared a pandemic by the World Health Organization and has spread to over 100 countries, including the U.S.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spacing w:after="0" w:line="128"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While there was no meaningful impact on the timelines for top line data for the Phase 3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 conducted may impact the quality and quantity of the overall data being collected (for example, certain study related procedures which need to be conducted at a clinical trial site may not be performed or be delayed) which may have implications for our future plans.</w:t>
      </w:r>
    </w:p>
    <w:p>
      <w:pPr>
        <w:spacing w:after="0" w:line="128"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Several measures are currently being implemented by the U.S. and other governments to address the current COVID-19 pandemic and its economic impacts. At this time, it is impossible to predict the success of these measures and whether or not they will have unforeseen negative consequences for our business. In addition, our results of operations, financial position and cash flows may be adversely affected by federal or state laws, regulations, orders, or other governmental or regulatory actions addressing the current COVID-19 pandemic or the U.S. healthcare system, which, if adopted, could result in direct or indirect restrictions to our business, results of operations, financial condition and cash flow. For example, the State of California issued Executive Order N-33-20 on March 4, 2020 (the “Executive Order”), which proclaimed a State of Emergency to exist in California as a result of the threat of COVID-19. The Executive Order mandated that all our employees work from home and not come into our corporate offices in Redwood City, California. We currently do not know when and how such regulations may be eased.</w:t>
      </w:r>
    </w:p>
    <w:p>
      <w:pPr>
        <w:spacing w:after="0" w:line="11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50" w:name="page51"/>
    <w:bookmarkEnd w:id="50"/>
    <w:p>
      <w:pPr>
        <w:ind w:right="20"/>
        <w:spacing w:after="0" w:line="276" w:lineRule="auto"/>
        <w:rPr>
          <w:sz w:val="20"/>
          <w:szCs w:val="20"/>
          <w:color w:val="auto"/>
        </w:rPr>
      </w:pPr>
      <w:r>
        <w:rPr>
          <w:rFonts w:ascii="Arial" w:cs="Arial" w:eastAsia="Arial" w:hAnsi="Arial"/>
          <w:sz w:val="12"/>
          <w:szCs w:val="12"/>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43"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w:t>
      </w:r>
    </w:p>
    <w:p>
      <w:pPr>
        <w:spacing w:after="0" w:line="33" w:lineRule="exact"/>
        <w:rPr>
          <w:sz w:val="20"/>
          <w:szCs w:val="20"/>
          <w:color w:val="auto"/>
        </w:rPr>
      </w:pPr>
    </w:p>
    <w:p>
      <w:pPr>
        <w:ind w:right="220"/>
        <w:spacing w:after="0" w:line="285" w:lineRule="auto"/>
        <w:rPr>
          <w:sz w:val="20"/>
          <w:szCs w:val="20"/>
          <w:color w:val="auto"/>
        </w:rPr>
      </w:pPr>
      <w:r>
        <w:rPr>
          <w:rFonts w:ascii="Arial" w:cs="Arial" w:eastAsia="Arial" w:hAnsi="Arial"/>
          <w:sz w:val="11"/>
          <w:szCs w:val="11"/>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51" w:name="page52"/>
    <w:bookmarkEnd w:id="51"/>
    <w:p>
      <w:pPr>
        <w:jc w:val="center"/>
        <w:ind w:right="-179"/>
        <w:spacing w:after="0"/>
        <w:rPr>
          <w:sz w:val="20"/>
          <w:szCs w:val="20"/>
          <w:color w:val="auto"/>
        </w:rPr>
      </w:pPr>
      <w:r>
        <w:rPr>
          <w:rFonts w:ascii="Arial" w:cs="Arial" w:eastAsia="Arial" w:hAnsi="Arial"/>
          <w:sz w:val="12"/>
          <w:szCs w:val="12"/>
          <w:b w:val="1"/>
          <w:bCs w:val="1"/>
          <w:color w:val="auto"/>
        </w:rPr>
        <w:t>ITEM 1B. UNRESOLVED STAFF COMMENTS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ITEM 2. PROPERTIES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principal facilities consist of office space in Redwood City, California. We currently occupy 6,368 square feet of office space under a non-cancelable operating lease that terminates in May 2021.</w:t>
      </w:r>
    </w:p>
    <w:p>
      <w:pPr>
        <w:spacing w:after="0" w:line="22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We believe that the facilities that we currently lease are adequate for our needs for the immediate future and we are in discussions with our existing landlord to extend our term. Should it be needed, we believe alternative space can be leased on commercially reasonable terms to accommodate any future needs.</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ITEM 3. LEGAL PROCEEDINGS</w:t>
      </w:r>
    </w:p>
    <w:p>
      <w:pPr>
        <w:spacing w:after="0" w:line="82" w:lineRule="exact"/>
        <w:rPr>
          <w:sz w:val="20"/>
          <w:szCs w:val="20"/>
          <w:color w:val="auto"/>
        </w:rPr>
      </w:pPr>
    </w:p>
    <w:p>
      <w:pPr>
        <w:jc w:val="both"/>
        <w:ind w:right="40" w:firstLine="592"/>
        <w:spacing w:after="0" w:line="263" w:lineRule="auto"/>
        <w:rPr>
          <w:sz w:val="20"/>
          <w:szCs w:val="20"/>
          <w:color w:val="auto"/>
        </w:rPr>
      </w:pPr>
      <w:r>
        <w:rPr>
          <w:rFonts w:ascii="Arial" w:cs="Arial" w:eastAsia="Arial" w:hAnsi="Arial"/>
          <w:sz w:val="12"/>
          <w:szCs w:val="12"/>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20"/>
          </w:cols>
          <w:pgMar w:left="300" w:top="127" w:right="4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common stock is quoted on NASDAQ under the symbol “SLNO”. Our 2018 PIPE Warrants are not traded on a national securities exchange.</w:t>
      </w:r>
    </w:p>
    <w:p>
      <w:pPr>
        <w:spacing w:after="0" w:line="150" w:lineRule="exact"/>
        <w:rPr>
          <w:sz w:val="20"/>
          <w:szCs w:val="20"/>
          <w:color w:val="auto"/>
        </w:rPr>
      </w:pPr>
    </w:p>
    <w:p>
      <w:pPr>
        <w:ind w:right="160" w:firstLine="592"/>
        <w:spacing w:after="0" w:line="276" w:lineRule="auto"/>
        <w:rPr>
          <w:sz w:val="20"/>
          <w:szCs w:val="20"/>
          <w:color w:val="auto"/>
        </w:rPr>
      </w:pPr>
      <w:r>
        <w:rPr>
          <w:rFonts w:ascii="Arial" w:cs="Arial" w:eastAsia="Arial" w:hAnsi="Arial"/>
          <w:sz w:val="12"/>
          <w:szCs w:val="12"/>
          <w:color w:val="auto"/>
        </w:rPr>
        <w:t>As of February 26, 2021, there were 47 shareholders of record for our common stock. A substantially greater number of stockholders may be “street name” or beneficial holders, whose shares are held of record by banks, brokers and other financial institutions.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82"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6. SELECTED FINANCIAL INFORMATION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Pursuant to Item 301(c) of Regulation S-K as a smaller reporting company, we are not required to provide the information required by this item.</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2" w:lineRule="exact"/>
        <w:rPr>
          <w:sz w:val="20"/>
          <w:szCs w:val="20"/>
          <w:color w:val="auto"/>
        </w:rPr>
      </w:pPr>
    </w:p>
    <w:p>
      <w:pPr>
        <w:ind w:firstLine="592"/>
        <w:spacing w:after="0" w:line="254" w:lineRule="auto"/>
        <w:rPr>
          <w:sz w:val="20"/>
          <w:szCs w:val="20"/>
          <w:color w:val="auto"/>
        </w:rPr>
      </w:pPr>
      <w:r>
        <w:rPr>
          <w:rFonts w:ascii="Arial" w:cs="Arial" w:eastAsia="Arial" w:hAnsi="Arial"/>
          <w:sz w:val="12"/>
          <w:szCs w:val="12"/>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54" w:lineRule="exact"/>
        <w:rPr>
          <w:sz w:val="20"/>
          <w:szCs w:val="20"/>
          <w:color w:val="auto"/>
        </w:rPr>
      </w:pPr>
    </w:p>
    <w:p>
      <w:pPr>
        <w:ind w:right="240" w:firstLine="592"/>
        <w:spacing w:after="0" w:line="276" w:lineRule="auto"/>
        <w:rPr>
          <w:sz w:val="20"/>
          <w:szCs w:val="20"/>
          <w:color w:val="auto"/>
        </w:rPr>
      </w:pPr>
      <w:r>
        <w:rPr>
          <w:rFonts w:ascii="Arial" w:cs="Arial" w:eastAsia="Arial" w:hAnsi="Arial"/>
          <w:sz w:val="12"/>
          <w:szCs w:val="12"/>
          <w:color w:val="auto"/>
        </w:rPr>
        <w:t>We are focused on the development and commercialization of novel therapeutics for the treatment of rare diseases. Our lead candidate is Diazoxide Choline Controlled Release tablets (DCCR), a once-daily oral tablet for the treatment of Prader-Willi Syndrome (PWS). DCCR has orphan designation for the treatment of PWS in the United States (U.S.) as well as in the European Union (E.U.).</w:t>
      </w:r>
    </w:p>
    <w:p>
      <w:pPr>
        <w:spacing w:after="0" w:line="115" w:lineRule="exact"/>
        <w:rPr>
          <w:sz w:val="20"/>
          <w:szCs w:val="20"/>
          <w:color w:val="auto"/>
        </w:rPr>
      </w:pPr>
    </w:p>
    <w:p>
      <w:pPr>
        <w:ind w:right="60" w:firstLine="592"/>
        <w:spacing w:after="0" w:line="326" w:lineRule="auto"/>
        <w:rPr>
          <w:sz w:val="20"/>
          <w:szCs w:val="20"/>
          <w:color w:val="auto"/>
        </w:rPr>
      </w:pPr>
      <w:r>
        <w:rPr>
          <w:rFonts w:ascii="Arial" w:cs="Arial" w:eastAsia="Arial" w:hAnsi="Arial"/>
          <w:sz w:val="10"/>
          <w:szCs w:val="10"/>
          <w:color w:val="auto"/>
        </w:rPr>
        <w:t>We were incorporated in the State of Delaware on August 25, 1999, and are located in Redwood City, California. We initially established our operations as Capnia, Inc., a diversified healthcare company that developed and commercialized innovative diagnostics, devices and therapeutics addressing unmet medical needs. In March 2017, we merged with Essentialis, Inc. and subsequently changed our name from “Capnia, Inc.” to “Soleno Therapeutics, Inc.” Essentialis was a privately held clinical-stage company focused on the development of breakthrough medicines for the treatment of rare diseases where this is increased mortality and risk of cardiovascular and endocrine complications. After the merger, our primary focus has been the development and commercialization of novel therapeutics for the treatment of rare diseases and we subsequently divested or discontinued all prior businesses.</w:t>
      </w:r>
    </w:p>
    <w:p>
      <w:pPr>
        <w:spacing w:after="0" w:line="95" w:lineRule="exact"/>
        <w:rPr>
          <w:sz w:val="20"/>
          <w:szCs w:val="20"/>
          <w:color w:val="auto"/>
        </w:rPr>
      </w:pPr>
    </w:p>
    <w:p>
      <w:pPr>
        <w:ind w:right="40" w:firstLine="592"/>
        <w:spacing w:after="0" w:line="256" w:lineRule="auto"/>
        <w:rPr>
          <w:sz w:val="20"/>
          <w:szCs w:val="20"/>
          <w:color w:val="auto"/>
        </w:rPr>
      </w:pPr>
      <w:r>
        <w:rPr>
          <w:rFonts w:ascii="Arial" w:cs="Arial" w:eastAsia="Arial" w:hAnsi="Arial"/>
          <w:sz w:val="12"/>
          <w:szCs w:val="12"/>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We are evaluating the data and are in communication with the regulatory authorities to determine next steps.</w:t>
      </w:r>
    </w:p>
    <w:p>
      <w:pPr>
        <w:spacing w:after="0" w:line="128"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The spread of the COVID-19 virus during 2020 caused an economic downturn on a global scale, as well as significant volatility in the financial markets. In March 2020, the World Health Organization declared the spread of the COVID-19 virus a pandemic. Due to stay at home orders both in the U.S. and U.K., we instituted a work from home policy for all of our employees to protect their health and well-being. We have ensured that all of our employees have essential materials to work comfortably and efficiently from home during this time.</w:t>
      </w:r>
    </w:p>
    <w:p>
      <w:pPr>
        <w:spacing w:after="0" w:line="122" w:lineRule="exact"/>
        <w:rPr>
          <w:sz w:val="20"/>
          <w:szCs w:val="20"/>
          <w:color w:val="auto"/>
        </w:rPr>
      </w:pPr>
    </w:p>
    <w:p>
      <w:pPr>
        <w:ind w:firstLine="592"/>
        <w:spacing w:after="0" w:line="298" w:lineRule="auto"/>
        <w:rPr>
          <w:sz w:val="20"/>
          <w:szCs w:val="20"/>
          <w:color w:val="auto"/>
        </w:rPr>
      </w:pPr>
      <w:r>
        <w:rPr>
          <w:rFonts w:ascii="Arial" w:cs="Arial" w:eastAsia="Arial" w:hAnsi="Arial"/>
          <w:sz w:val="11"/>
          <w:szCs w:val="11"/>
          <w:color w:val="auto"/>
        </w:rPr>
        <w:t>We have not experienced a significant financial impact directly related to the COVID-19 pandemic. In June 2020, subsequent to the announcement of top line results from DESTINY PWS, we completed a public offering of shares of our common stock and raised $53.7 million in net proceeds. As of December 31, 2020, we had cash and cash equivalents of $49.2 million, which management believes is sufficient to enable us to meet our obligations for at least the next twelve months from the date of this filing. As of December 31, 2020, we had an accumulated deficit of $182.4 million, primarily as a result of research and development and general and administrative expenses. We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4" w:name="page55"/>
    <w:bookmarkEnd w:id="54"/>
    <w:p>
      <w:pPr>
        <w:ind w:right="220"/>
        <w:spacing w:after="0" w:line="276" w:lineRule="auto"/>
        <w:rPr>
          <w:sz w:val="20"/>
          <w:szCs w:val="20"/>
          <w:color w:val="auto"/>
        </w:rPr>
      </w:pPr>
      <w:r>
        <w:rPr>
          <w:rFonts w:ascii="Arial" w:cs="Arial" w:eastAsia="Arial" w:hAnsi="Arial"/>
          <w:sz w:val="12"/>
          <w:szCs w:val="12"/>
          <w:color w:val="auto"/>
        </w:rPr>
        <w:t>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Financings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2017 PIPE Offering</w:t>
      </w:r>
    </w:p>
    <w:p>
      <w:pPr>
        <w:spacing w:after="0" w:line="78" w:lineRule="exact"/>
        <w:rPr>
          <w:sz w:val="20"/>
          <w:szCs w:val="20"/>
          <w:color w:val="auto"/>
        </w:rPr>
      </w:pPr>
    </w:p>
    <w:p>
      <w:pPr>
        <w:ind w:firstLine="592"/>
        <w:spacing w:after="0" w:line="326" w:lineRule="auto"/>
        <w:rPr>
          <w:sz w:val="20"/>
          <w:szCs w:val="20"/>
          <w:color w:val="auto"/>
        </w:rPr>
      </w:pPr>
      <w:r>
        <w:rPr>
          <w:rFonts w:ascii="Arial" w:cs="Arial" w:eastAsia="Arial" w:hAnsi="Arial"/>
          <w:sz w:val="10"/>
          <w:szCs w:val="10"/>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2018 PIPE Offering</w:t>
      </w:r>
    </w:p>
    <w:p>
      <w:pPr>
        <w:spacing w:after="0" w:line="78" w:lineRule="exact"/>
        <w:rPr>
          <w:sz w:val="20"/>
          <w:szCs w:val="20"/>
          <w:color w:val="auto"/>
        </w:rPr>
      </w:pPr>
    </w:p>
    <w:p>
      <w:pPr>
        <w:ind w:right="20" w:firstLine="592"/>
        <w:spacing w:after="0" w:line="289" w:lineRule="auto"/>
        <w:rPr>
          <w:sz w:val="20"/>
          <w:szCs w:val="20"/>
          <w:color w:val="auto"/>
        </w:rPr>
      </w:pPr>
      <w:r>
        <w:rPr>
          <w:rFonts w:ascii="Arial" w:cs="Arial" w:eastAsia="Arial" w:hAnsi="Arial"/>
          <w:sz w:val="11"/>
          <w:szCs w:val="11"/>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prepared and filed a registration statement with the SEC to register for resale the 2018 Resale Shares. The registration statement was declared effective in April 2019.</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2019 Public Offering</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On October 25, 2019, we sold 12,841,667 shares of common stock in an underwritten public offering at a price of $1.20 per share for net proceeds of $14.5 million.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2020 Public Offering</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On June 26, 2020, we sold 34,848,484 shares of common stock in an underwritten public offering at a price of $1.65 per share for net proceeds of $53.7 million.</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overview</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Summary</w:t>
      </w:r>
    </w:p>
    <w:p>
      <w:pPr>
        <w:spacing w:after="0" w:line="78" w:lineRule="exact"/>
        <w:rPr>
          <w:sz w:val="20"/>
          <w:szCs w:val="20"/>
          <w:color w:val="auto"/>
        </w:rPr>
      </w:pPr>
    </w:p>
    <w:p>
      <w:pPr>
        <w:ind w:right="20" w:firstLine="592"/>
        <w:spacing w:after="0" w:line="263" w:lineRule="auto"/>
        <w:rPr>
          <w:sz w:val="20"/>
          <w:szCs w:val="20"/>
          <w:color w:val="auto"/>
        </w:rPr>
      </w:pPr>
      <w:r>
        <w:rPr>
          <w:rFonts w:ascii="Arial" w:cs="Arial" w:eastAsia="Arial" w:hAnsi="Arial"/>
          <w:sz w:val="12"/>
          <w:szCs w:val="12"/>
          <w:color w:val="auto"/>
        </w:rPr>
        <w:t>We have not generated net income from operations to date, and at December 31, 2020 we had an accumulated deficit of $182.4 million,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date, we have earned no revenue from the commercial development and sale of novel therapeutic products.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Research and development costs consist primarily of salaries and benefits, professional consultant fees, prototype expenses, certain facility costs and other costs associated with clinical trials, net of reimbursed amounts.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55" w:name="page56"/>
    <w:bookmarkEnd w:id="55"/>
    <w:p>
      <w:pPr>
        <w:ind w:left="58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78" w:lineRule="exact"/>
        <w:rPr>
          <w:sz w:val="20"/>
          <w:szCs w:val="20"/>
          <w:color w:val="auto"/>
        </w:rPr>
      </w:pPr>
    </w:p>
    <w:p>
      <w:pPr>
        <w:jc w:val="both"/>
        <w:ind w:right="40" w:firstLine="592"/>
        <w:spacing w:after="0" w:line="263" w:lineRule="auto"/>
        <w:rPr>
          <w:sz w:val="20"/>
          <w:szCs w:val="20"/>
          <w:color w:val="auto"/>
        </w:rPr>
      </w:pPr>
      <w:r>
        <w:rPr>
          <w:rFonts w:ascii="Arial" w:cs="Arial" w:eastAsia="Arial" w:hAnsi="Arial"/>
          <w:sz w:val="12"/>
          <w:szCs w:val="12"/>
          <w:color w:val="auto"/>
        </w:rPr>
        <w:t>General and administrative expenses consist principally of salaries and benefits,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Change in fair value of contingent consideration</w:t>
      </w:r>
    </w:p>
    <w:p>
      <w:pPr>
        <w:spacing w:after="0" w:line="78" w:lineRule="exact"/>
        <w:rPr>
          <w:sz w:val="20"/>
          <w:szCs w:val="20"/>
          <w:color w:val="auto"/>
        </w:rPr>
      </w:pPr>
    </w:p>
    <w:p>
      <w:pPr>
        <w:ind w:right="160" w:firstLine="592"/>
        <w:spacing w:after="0" w:line="276" w:lineRule="auto"/>
        <w:rPr>
          <w:sz w:val="20"/>
          <w:szCs w:val="20"/>
          <w:color w:val="auto"/>
        </w:rPr>
      </w:pPr>
      <w:r>
        <w:rPr>
          <w:rFonts w:ascii="Arial" w:cs="Arial" w:eastAsia="Arial" w:hAnsi="Arial"/>
          <w:sz w:val="12"/>
          <w:szCs w:val="12"/>
          <w:color w:val="auto"/>
        </w:rPr>
        <w:t>Change in fair value of contingent consideration represents the 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Other income (expense) is primarily comprised of the changes in the fair value of the 2017 and 2018 PIPE common stock warrant liabilities, and to a much lesser extent, interest income. In 2019 other income (expense) also includes the loss from recording our minority interest investment in Capnia.</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ind w:right="60" w:firstLine="592"/>
        <w:spacing w:after="0" w:line="256" w:lineRule="auto"/>
        <w:rPr>
          <w:sz w:val="20"/>
          <w:szCs w:val="20"/>
          <w:color w:val="auto"/>
        </w:rPr>
      </w:pPr>
      <w:r>
        <w:rPr>
          <w:rFonts w:ascii="Arial" w:cs="Arial" w:eastAsia="Arial" w:hAnsi="Arial"/>
          <w:sz w:val="12"/>
          <w:szCs w:val="12"/>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Series A, Series C, 2017 PIPE Warrants, and the 2018 PIPE Warrants</w:t>
      </w:r>
    </w:p>
    <w:p>
      <w:pPr>
        <w:spacing w:after="0" w:line="78" w:lineRule="exact"/>
        <w:rPr>
          <w:sz w:val="20"/>
          <w:szCs w:val="20"/>
          <w:color w:val="auto"/>
        </w:rPr>
      </w:pPr>
    </w:p>
    <w:p>
      <w:pPr>
        <w:ind w:right="20" w:firstLine="592"/>
        <w:spacing w:after="0" w:line="256" w:lineRule="auto"/>
        <w:rPr>
          <w:sz w:val="20"/>
          <w:szCs w:val="20"/>
          <w:color w:val="auto"/>
        </w:rPr>
      </w:pPr>
      <w:r>
        <w:rPr>
          <w:rFonts w:ascii="Arial" w:cs="Arial" w:eastAsia="Arial" w:hAnsi="Arial"/>
          <w:sz w:val="12"/>
          <w:szCs w:val="12"/>
          <w:color w:val="auto"/>
        </w:rPr>
        <w:t xml:space="preserve">We account for the Series A, Series C, 2017 PIPE warrants, and 2018 PIPE warrants, collectively referred to as the Warrants, in accordance with the guidance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The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2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We classified the Warrants as liabilities at their fair value and re-measure the warrants at each balance sheet date until they are exercised or expire. Any change in the fair value is recognized as other income (expense) in the statements of operations. The Series A warrants expired in November 2019; the Series C warrants expired in March 2020; and the 2017 PIPE warrants expired in December 2020.</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5" w:right="339" w:bottom="1440" w:gutter="0" w:footer="0" w:header="0"/>
        </w:sectPr>
      </w:pPr>
    </w:p>
    <w:bookmarkStart w:id="56" w:name="page57"/>
    <w:bookmarkEnd w:id="56"/>
    <w:p>
      <w:pPr>
        <w:ind w:left="580"/>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78" w:lineRule="exact"/>
        <w:rPr>
          <w:sz w:val="20"/>
          <w:szCs w:val="20"/>
          <w:color w:val="auto"/>
        </w:rPr>
      </w:pPr>
    </w:p>
    <w:p>
      <w:pPr>
        <w:ind w:right="40" w:firstLine="592"/>
        <w:spacing w:after="0" w:line="259" w:lineRule="auto"/>
        <w:rPr>
          <w:sz w:val="20"/>
          <w:szCs w:val="20"/>
          <w:color w:val="auto"/>
        </w:rPr>
      </w:pPr>
      <w:r>
        <w:rPr>
          <w:rFonts w:ascii="Arial" w:cs="Arial" w:eastAsia="Arial" w:hAnsi="Arial"/>
          <w:sz w:val="12"/>
          <w:szCs w:val="12"/>
          <w:color w:val="auto"/>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We accrue the costs of service rendered in connection with third-party contractor activities based on our estimate of fees and costs associate with the contract that were rendered during the period and they are expensed as incurred.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1"/>
          <w:szCs w:val="11"/>
          <w:color w:val="auto"/>
        </w:rPr>
        <w:t>Costs to acquire technologies to be used in research and development that have not reached technological feasibility and have no alternative future use are expensed to research and development costs when incurred.</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78" w:lineRule="exact"/>
        <w:rPr>
          <w:sz w:val="20"/>
          <w:szCs w:val="20"/>
          <w:color w:val="auto"/>
        </w:rPr>
      </w:pPr>
    </w:p>
    <w:p>
      <w:pPr>
        <w:jc w:val="both"/>
        <w:ind w:right="200" w:firstLine="592"/>
        <w:spacing w:after="0" w:line="340" w:lineRule="auto"/>
        <w:rPr>
          <w:sz w:val="20"/>
          <w:szCs w:val="20"/>
          <w:color w:val="auto"/>
        </w:rPr>
      </w:pPr>
      <w:r>
        <w:rPr>
          <w:rFonts w:ascii="Arial" w:cs="Arial" w:eastAsia="Arial" w:hAnsi="Arial"/>
          <w:sz w:val="10"/>
          <w:szCs w:val="10"/>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of the award. Stock options generally vest over four years.</w:t>
      </w:r>
    </w:p>
    <w:p>
      <w:pPr>
        <w:spacing w:after="0" w:line="87"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43" w:lineRule="exact"/>
        <w:rPr>
          <w:sz w:val="20"/>
          <w:szCs w:val="20"/>
          <w:color w:val="auto"/>
        </w:rPr>
      </w:pPr>
    </w:p>
    <w:p>
      <w:pPr>
        <w:ind w:left="1020" w:hanging="443"/>
        <w:spacing w:after="0"/>
        <w:tabs>
          <w:tab w:leader="none" w:pos="10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We calculate the estimated volatility rate based on the volatility of our common stock together with comparable companies in our industry.</w:t>
      </w:r>
    </w:p>
    <w:p>
      <w:pPr>
        <w:spacing w:after="0" w:line="96" w:lineRule="exact"/>
        <w:rPr>
          <w:rFonts w:ascii="Arial" w:cs="Arial" w:eastAsia="Arial" w:hAnsi="Arial"/>
          <w:sz w:val="12"/>
          <w:szCs w:val="12"/>
          <w:color w:val="auto"/>
        </w:rPr>
      </w:pPr>
    </w:p>
    <w:p>
      <w:pPr>
        <w:ind w:left="1020" w:right="180" w:hanging="443"/>
        <w:spacing w:after="0" w:line="276" w:lineRule="auto"/>
        <w:tabs>
          <w:tab w:leader="none" w:pos="10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We do not believe we are able to rely on our historical exercise and post-vesting termination activity to provide accurate data for estimating the expected term for use in estimating the fair value-based measurement of our options. Therefore, we have opted to use the “simplified method” for estimating the expected term of options.</w:t>
      </w:r>
    </w:p>
    <w:p>
      <w:pPr>
        <w:spacing w:after="0" w:line="42" w:lineRule="exact"/>
        <w:rPr>
          <w:rFonts w:ascii="Arial" w:cs="Arial" w:eastAsia="Arial" w:hAnsi="Arial"/>
          <w:sz w:val="12"/>
          <w:szCs w:val="12"/>
          <w:color w:val="auto"/>
        </w:rPr>
      </w:pPr>
    </w:p>
    <w:p>
      <w:pPr>
        <w:ind w:left="1020" w:hanging="443"/>
        <w:spacing w:after="0"/>
        <w:tabs>
          <w:tab w:leader="none" w:pos="10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Risk-free rate: </w:t>
      </w:r>
      <w:r>
        <w:rPr>
          <w:rFonts w:ascii="Arial" w:cs="Arial" w:eastAsia="Arial" w:hAnsi="Arial"/>
          <w:sz w:val="12"/>
          <w:szCs w:val="12"/>
          <w:color w:val="auto"/>
        </w:rPr>
        <w:t>The risk-free interest rate is based on the yields of U.S. Treasury securities with maturities similar to the expected time to liquidity.</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50"/>
        </w:numPr>
        <w:rPr>
          <w:rFonts w:ascii="Arial" w:cs="Arial" w:eastAsia="Arial" w:hAnsi="Arial"/>
          <w:sz w:val="10"/>
          <w:szCs w:val="10"/>
          <w:color w:val="auto"/>
        </w:rPr>
      </w:pPr>
      <w:r>
        <w:rPr>
          <w:rFonts w:ascii="Arial" w:cs="Arial" w:eastAsia="Arial" w:hAnsi="Arial"/>
          <w:sz w:val="10"/>
          <w:szCs w:val="10"/>
          <w:i w:val="1"/>
          <w:iCs w:val="1"/>
          <w:color w:val="auto"/>
        </w:rPr>
        <w:t xml:space="preserve">Expected dividend yield: </w:t>
      </w:r>
      <w:r>
        <w:rPr>
          <w:rFonts w:ascii="Arial" w:cs="Arial" w:eastAsia="Arial" w:hAnsi="Arial"/>
          <w:sz w:val="10"/>
          <w:szCs w:val="10"/>
          <w:color w:val="auto"/>
        </w:rPr>
        <w:t>We have never declared or paid any cash dividends and do not presently plan to pay cash dividends in the foreseeable future. Consequently, we used an expected dividend yield of zero.</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Contingent consideration</w:t>
      </w:r>
    </w:p>
    <w:p>
      <w:pPr>
        <w:spacing w:after="0" w:line="78" w:lineRule="exact"/>
        <w:rPr>
          <w:sz w:val="20"/>
          <w:szCs w:val="20"/>
          <w:color w:val="auto"/>
        </w:rPr>
      </w:pPr>
    </w:p>
    <w:p>
      <w:pPr>
        <w:ind w:right="140" w:firstLine="592"/>
        <w:spacing w:after="0" w:line="263" w:lineRule="auto"/>
        <w:rPr>
          <w:sz w:val="20"/>
          <w:szCs w:val="20"/>
          <w:color w:val="auto"/>
        </w:rPr>
      </w:pPr>
      <w:r>
        <w:rPr>
          <w:rFonts w:ascii="Arial" w:cs="Arial" w:eastAsia="Arial" w:hAnsi="Arial"/>
          <w:sz w:val="12"/>
          <w:szCs w:val="12"/>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statements of operations.</w:t>
      </w:r>
    </w:p>
    <w:p>
      <w:pPr>
        <w:spacing w:after="0" w:line="122" w:lineRule="exact"/>
        <w:rPr>
          <w:sz w:val="20"/>
          <w:szCs w:val="20"/>
          <w:color w:val="auto"/>
        </w:rPr>
      </w:pPr>
    </w:p>
    <w:p>
      <w:pPr>
        <w:ind w:right="220" w:firstLine="592"/>
        <w:spacing w:after="0" w:line="263" w:lineRule="auto"/>
        <w:rPr>
          <w:sz w:val="20"/>
          <w:szCs w:val="20"/>
          <w:color w:val="auto"/>
        </w:rPr>
      </w:pPr>
      <w:r>
        <w:rPr>
          <w:rFonts w:ascii="Arial" w:cs="Arial" w:eastAsia="Arial" w:hAnsi="Arial"/>
          <w:sz w:val="12"/>
          <w:szCs w:val="12"/>
          <w:color w:val="auto"/>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statements of operations. The fair value of the contingent consideration is based on our analysis of the likelihood of the drug indication moving from Phase 2 through approval by the FDA and then reaching the cumulative revenue milestones.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Common Stock Purchase Warrants and Other Derivative Financial Instruments</w:t>
      </w:r>
    </w:p>
    <w:p>
      <w:pPr>
        <w:spacing w:after="0" w:line="78" w:lineRule="exact"/>
        <w:rPr>
          <w:sz w:val="20"/>
          <w:szCs w:val="20"/>
          <w:color w:val="auto"/>
        </w:rPr>
      </w:pPr>
    </w:p>
    <w:p>
      <w:pPr>
        <w:ind w:right="240" w:firstLine="592"/>
        <w:spacing w:after="0" w:line="276" w:lineRule="auto"/>
        <w:rPr>
          <w:sz w:val="20"/>
          <w:szCs w:val="20"/>
          <w:color w:val="auto"/>
        </w:rPr>
      </w:pPr>
      <w:r>
        <w:rPr>
          <w:rFonts w:ascii="Arial" w:cs="Arial" w:eastAsia="Arial" w:hAnsi="Arial"/>
          <w:sz w:val="12"/>
          <w:szCs w:val="12"/>
          <w:color w:val="auto"/>
        </w:rPr>
        <w:t xml:space="preserve">We account for the warrants in accordance with the guidance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We classify common stock purchase warrants and other free standing derivative financial instruments as equity if the contracts (i) require physical settlement or net-share settlement or (ii) give us a choice of net-cash settlement or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57" w:name="page58"/>
    <w:bookmarkEnd w:id="57"/>
    <w:p>
      <w:pPr>
        <w:ind w:right="20"/>
        <w:spacing w:after="0" w:line="320" w:lineRule="auto"/>
        <w:rPr>
          <w:sz w:val="20"/>
          <w:szCs w:val="20"/>
          <w:color w:val="auto"/>
        </w:rPr>
      </w:pPr>
      <w:r>
        <w:rPr>
          <w:rFonts w:ascii="Arial" w:cs="Arial" w:eastAsia="Arial" w:hAnsi="Arial"/>
          <w:sz w:val="10"/>
          <w:szCs w:val="10"/>
          <w:color w:val="auto"/>
        </w:rPr>
        <w:t>settlement in its own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our sole control or variable settlement provision that cause them to not be indexed to our stock. The Series A Warrants expired during November 2019, the Series C warrants expired in March 2020, and the 2017 PIPE warrants expired in December 2020.</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right="20" w:firstLine="592"/>
        <w:spacing w:after="0" w:line="276" w:lineRule="auto"/>
        <w:rPr>
          <w:sz w:val="20"/>
          <w:szCs w:val="20"/>
          <w:color w:val="auto"/>
        </w:rPr>
      </w:pPr>
      <w:r>
        <w:rPr>
          <w:rFonts w:ascii="Arial" w:cs="Arial" w:eastAsia="Arial" w:hAnsi="Arial"/>
          <w:sz w:val="12"/>
          <w:szCs w:val="12"/>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15"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22" w:lineRule="exact"/>
        <w:rPr>
          <w:sz w:val="20"/>
          <w:szCs w:val="20"/>
          <w:color w:val="auto"/>
        </w:rPr>
      </w:pPr>
    </w:p>
    <w:p>
      <w:pPr>
        <w:ind w:right="240" w:firstLine="592"/>
        <w:spacing w:after="0" w:line="379" w:lineRule="auto"/>
        <w:rPr>
          <w:sz w:val="20"/>
          <w:szCs w:val="20"/>
          <w:color w:val="auto"/>
        </w:rPr>
      </w:pPr>
      <w:r>
        <w:rPr>
          <w:rFonts w:ascii="Arial" w:cs="Arial" w:eastAsia="Arial" w:hAnsi="Arial"/>
          <w:sz w:val="10"/>
          <w:szCs w:val="10"/>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69" w:lineRule="exact"/>
        <w:rPr>
          <w:sz w:val="20"/>
          <w:szCs w:val="20"/>
          <w:color w:val="auto"/>
        </w:rPr>
      </w:pPr>
    </w:p>
    <w:p>
      <w:pPr>
        <w:ind w:firstLine="592"/>
        <w:spacing w:after="0" w:line="256" w:lineRule="auto"/>
        <w:rPr>
          <w:sz w:val="20"/>
          <w:szCs w:val="20"/>
          <w:color w:val="auto"/>
        </w:rPr>
      </w:pPr>
      <w:r>
        <w:rPr>
          <w:rFonts w:ascii="Arial" w:cs="Arial" w:eastAsia="Arial" w:hAnsi="Arial"/>
          <w:sz w:val="12"/>
          <w:szCs w:val="12"/>
          <w:color w:val="auto"/>
        </w:rPr>
        <w:t xml:space="preserve">We account for uncertainty in income taxes as required by the provisions of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28"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03" w:right="33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Comparison of the Years Ended December 31, 2020 and 2019</w:t>
      </w:r>
    </w:p>
    <w:p>
      <w:pPr>
        <w:spacing w:after="0" w:line="13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center"/>
              <w:ind w:left="43"/>
              <w:spacing w:after="0"/>
              <w:rPr>
                <w:sz w:val="20"/>
                <w:szCs w:val="20"/>
                <w:color w:val="auto"/>
              </w:rPr>
            </w:pPr>
            <w:r>
              <w:rPr>
                <w:rFonts w:ascii="Arial" w:cs="Arial" w:eastAsia="Arial" w:hAnsi="Arial"/>
                <w:sz w:val="10"/>
                <w:szCs w:val="10"/>
                <w:b w:val="1"/>
                <w:bCs w:val="1"/>
                <w:color w:val="auto"/>
                <w:w w:val="87"/>
              </w:rPr>
              <w:t>Year Ended</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center"/>
              <w:ind w:left="43"/>
              <w:spacing w:after="0" w:line="114" w:lineRule="exact"/>
              <w:rPr>
                <w:sz w:val="20"/>
                <w:szCs w:val="20"/>
                <w:color w:val="auto"/>
              </w:rPr>
            </w:pPr>
            <w:r>
              <w:rPr>
                <w:rFonts w:ascii="Arial" w:cs="Arial" w:eastAsia="Arial" w:hAnsi="Arial"/>
                <w:sz w:val="10"/>
                <w:szCs w:val="10"/>
                <w:b w:val="1"/>
                <w:bCs w:val="1"/>
                <w:color w:val="auto"/>
                <w:w w:val="86"/>
              </w:rPr>
              <w:t>December 31,</w:t>
            </w: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ind w:left="540"/>
              <w:spacing w:after="0" w:line="114" w:lineRule="exact"/>
              <w:rPr>
                <w:sz w:val="20"/>
                <w:szCs w:val="20"/>
                <w:color w:val="auto"/>
              </w:rPr>
            </w:pPr>
            <w:r>
              <w:rPr>
                <w:rFonts w:ascii="Arial" w:cs="Arial" w:eastAsia="Arial" w:hAnsi="Arial"/>
                <w:sz w:val="10"/>
                <w:szCs w:val="10"/>
                <w:b w:val="1"/>
                <w:bCs w:val="1"/>
                <w:color w:val="auto"/>
                <w:w w:val="83"/>
              </w:rPr>
              <w:t>Increase (decrease)</w:t>
            </w: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62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jc w:val="right"/>
              <w:ind w:right="361"/>
              <w:spacing w:after="0" w:line="97" w:lineRule="exact"/>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3"/>
          </w:tcPr>
          <w:p>
            <w:pPr>
              <w:ind w:left="140"/>
              <w:spacing w:after="0" w:line="97" w:lineRule="exact"/>
              <w:rPr>
                <w:sz w:val="20"/>
                <w:szCs w:val="20"/>
                <w:color w:val="auto"/>
              </w:rPr>
            </w:pPr>
            <w:r>
              <w:rPr>
                <w:rFonts w:ascii="Arial" w:cs="Arial" w:eastAsia="Arial" w:hAnsi="Arial"/>
                <w:sz w:val="10"/>
                <w:szCs w:val="10"/>
                <w:b w:val="1"/>
                <w:bCs w:val="1"/>
                <w:color w:val="auto"/>
              </w:rPr>
              <w:t>Amount</w:t>
            </w:r>
          </w:p>
        </w:tc>
        <w:tc>
          <w:tcPr>
            <w:tcW w:w="740" w:type="dxa"/>
            <w:vAlign w:val="bottom"/>
          </w:tcPr>
          <w:p>
            <w:pPr>
              <w:spacing w:after="0" w:line="97" w:lineRule="exact"/>
              <w:rPr>
                <w:sz w:val="20"/>
                <w:szCs w:val="20"/>
                <w:color w:val="auto"/>
              </w:rPr>
            </w:pPr>
            <w:r>
              <w:rPr>
                <w:rFonts w:ascii="Arial" w:cs="Arial" w:eastAsia="Arial" w:hAnsi="Arial"/>
                <w:sz w:val="10"/>
                <w:szCs w:val="10"/>
                <w:b w:val="1"/>
                <w:bCs w:val="1"/>
                <w:color w:val="auto"/>
              </w:rPr>
              <w:t>Percentage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2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jc w:val="center"/>
              <w:ind w:left="43"/>
              <w:spacing w:after="0" w:line="97" w:lineRule="exact"/>
              <w:rPr>
                <w:sz w:val="20"/>
                <w:szCs w:val="20"/>
                <w:color w:val="auto"/>
              </w:rPr>
            </w:pPr>
            <w:r>
              <w:rPr>
                <w:rFonts w:ascii="Arial" w:cs="Arial" w:eastAsia="Arial" w:hAnsi="Arial"/>
                <w:sz w:val="10"/>
                <w:szCs w:val="10"/>
                <w:color w:val="auto"/>
                <w:w w:val="88"/>
              </w:rPr>
              <w:t>(in thousands)</w:t>
            </w: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23,191</w:t>
            </w:r>
          </w:p>
        </w:tc>
        <w:tc>
          <w:tcPr>
            <w:tcW w:w="22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16,267</w:t>
            </w:r>
          </w:p>
        </w:tc>
        <w:tc>
          <w:tcPr>
            <w:tcW w:w="2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6,924</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6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8,758</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6,930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1,828</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3"/>
        </w:trPr>
        <w:tc>
          <w:tcPr>
            <w:tcW w:w="5280" w:type="dxa"/>
            <w:vAlign w:val="bottom"/>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4,340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4,051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1402%</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500"/>
              <w:spacing w:after="0"/>
              <w:rPr>
                <w:sz w:val="20"/>
                <w:szCs w:val="20"/>
                <w:color w:val="auto"/>
              </w:rPr>
            </w:pPr>
            <w:r>
              <w:rPr>
                <w:rFonts w:ascii="Arial" w:cs="Arial" w:eastAsia="Arial" w:hAnsi="Arial"/>
                <w:sz w:val="12"/>
                <w:szCs w:val="12"/>
                <w:color w:val="auto"/>
              </w:rPr>
              <w:t>Total operating expenses</w:t>
            </w: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36,289</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23,486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12,803</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320"/>
              <w:spacing w:after="0"/>
              <w:rPr>
                <w:sz w:val="20"/>
                <w:szCs w:val="20"/>
                <w:color w:val="auto"/>
              </w:rPr>
            </w:pPr>
            <w:r>
              <w:rPr>
                <w:rFonts w:ascii="Arial" w:cs="Arial" w:eastAsia="Arial" w:hAnsi="Arial"/>
                <w:sz w:val="12"/>
                <w:szCs w:val="12"/>
                <w:color w:val="auto"/>
              </w:rPr>
              <w:t>Operating loss</w:t>
            </w: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(36,289)</w:t>
            </w:r>
          </w:p>
        </w:tc>
        <w:tc>
          <w:tcPr>
            <w:tcW w:w="2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(23,486)</w:t>
            </w:r>
          </w:p>
        </w:tc>
        <w:tc>
          <w:tcPr>
            <w:tcW w:w="2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(12,803)</w:t>
            </w:r>
          </w:p>
        </w:tc>
        <w:tc>
          <w:tcPr>
            <w:tcW w:w="3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2"/>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6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80" w:type="dxa"/>
            <w:vAlign w:val="bottom"/>
          </w:tcPr>
          <w:p>
            <w:pPr>
              <w:ind w:left="160"/>
              <w:spacing w:after="0"/>
              <w:rPr>
                <w:sz w:val="20"/>
                <w:szCs w:val="20"/>
                <w:color w:val="auto"/>
              </w:rPr>
            </w:pPr>
            <w:r>
              <w:rPr>
                <w:rFonts w:ascii="Arial" w:cs="Arial" w:eastAsia="Arial" w:hAnsi="Arial"/>
                <w:sz w:val="12"/>
                <w:szCs w:val="12"/>
                <w:color w:val="auto"/>
              </w:rPr>
              <w:t>Change in fair value of warrants liabilities</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11,637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(6,964)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18,601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153"/>
        </w:trPr>
        <w:tc>
          <w:tcPr>
            <w:tcW w:w="52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minority interest investment</w:t>
            </w:r>
          </w:p>
        </w:tc>
        <w:tc>
          <w:tcPr>
            <w:tcW w:w="6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(478)</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5280" w:type="dxa"/>
            <w:vAlign w:val="bottom"/>
          </w:tcPr>
          <w:p>
            <w:pPr>
              <w:ind w:left="160"/>
              <w:spacing w:after="0"/>
              <w:rPr>
                <w:sz w:val="20"/>
                <w:szCs w:val="20"/>
                <w:color w:val="auto"/>
              </w:rPr>
            </w:pPr>
            <w:r>
              <w:rPr>
                <w:rFonts w:ascii="Arial" w:cs="Arial" w:eastAsia="Arial" w:hAnsi="Arial"/>
                <w:sz w:val="12"/>
                <w:szCs w:val="12"/>
                <w:color w:val="auto"/>
              </w:rPr>
              <w:t>Interest and other income</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(141)</w:t>
            </w:r>
          </w:p>
        </w:tc>
        <w:tc>
          <w:tcPr>
            <w:tcW w:w="3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FF0FC"/>
          </w:tcPr>
          <w:p>
            <w:pPr>
              <w:ind w:left="500"/>
              <w:spacing w:after="0"/>
              <w:rPr>
                <w:sz w:val="20"/>
                <w:szCs w:val="20"/>
                <w:color w:val="auto"/>
              </w:rPr>
            </w:pPr>
            <w:r>
              <w:rPr>
                <w:rFonts w:ascii="Arial" w:cs="Arial" w:eastAsia="Arial" w:hAnsi="Arial"/>
                <w:sz w:val="12"/>
                <w:szCs w:val="12"/>
                <w:color w:val="auto"/>
              </w:rPr>
              <w:t>Total other income (expense)</w:t>
            </w: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11,650</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(7,288)</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18,938</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3"/>
              </w:rPr>
              <w:t>(24,639)</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(30,774)</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6,135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have not commenced commercialization of DCCR, our current sole novel therapeutic product, and accordingly, through December 31, 2020, have generated no revenue.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78" w:lineRule="exact"/>
        <w:rPr>
          <w:sz w:val="20"/>
          <w:szCs w:val="20"/>
          <w:color w:val="auto"/>
        </w:rPr>
      </w:pPr>
    </w:p>
    <w:p>
      <w:pPr>
        <w:ind w:right="80" w:firstLine="592"/>
        <w:spacing w:after="0" w:line="289" w:lineRule="auto"/>
        <w:rPr>
          <w:sz w:val="20"/>
          <w:szCs w:val="20"/>
          <w:color w:val="auto"/>
        </w:rPr>
      </w:pPr>
      <w:r>
        <w:rPr>
          <w:rFonts w:ascii="Arial" w:cs="Arial" w:eastAsia="Arial" w:hAnsi="Arial"/>
          <w:sz w:val="11"/>
          <w:szCs w:val="11"/>
          <w:color w:val="auto"/>
        </w:rPr>
        <w:t>Research and development expense of $23.2 million for the year ended December 31, 2020 increased by $6.9 million over 2019. In January 2020, we announced the completion of target enrollment in DESTINY PWS trial with 29 sites and over 100 subjects, and in June 2020, we announced top line results. As of December 31, 2020, 28 sites remained active with 99 patients still actively participating in the study and continuing to receive DCCR. During 2019, not all clinical trial sites had been initiated, with 9 starting in the second half of the year. As a result, we have incurred increased clinical site costs, consulting costs and lab costs during 2020. In addition, we are increasing our investment in clinical manufacturing costs to continue to supply DCCR to the patients in the trial and to prepare for the next phase in the regulatory approval process.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right="380" w:firstLine="592"/>
        <w:spacing w:after="0" w:line="276" w:lineRule="auto"/>
        <w:rPr>
          <w:sz w:val="20"/>
          <w:szCs w:val="20"/>
          <w:color w:val="auto"/>
        </w:rPr>
      </w:pPr>
      <w:r>
        <w:rPr>
          <w:rFonts w:ascii="Arial" w:cs="Arial" w:eastAsia="Arial" w:hAnsi="Arial"/>
          <w:sz w:val="12"/>
          <w:szCs w:val="12"/>
          <w:color w:val="auto"/>
        </w:rPr>
        <w:t>General and administrative expense of $8.8 million during 2020 increased by $1.8 million from 2019. The increase was primarily related to increased compensation costs, costs for intellectual property, and corporate business development expenses.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Change in fair value of contingent consideration</w:t>
      </w:r>
    </w:p>
    <w:p>
      <w:pPr>
        <w:spacing w:after="0" w:line="78" w:lineRule="exact"/>
        <w:rPr>
          <w:sz w:val="20"/>
          <w:szCs w:val="20"/>
          <w:color w:val="auto"/>
        </w:rPr>
      </w:pPr>
    </w:p>
    <w:p>
      <w:pPr>
        <w:ind w:right="80" w:firstLine="592"/>
        <w:spacing w:after="0" w:line="289" w:lineRule="auto"/>
        <w:rPr>
          <w:sz w:val="20"/>
          <w:szCs w:val="20"/>
          <w:color w:val="auto"/>
        </w:rPr>
      </w:pPr>
      <w:r>
        <w:rPr>
          <w:rFonts w:ascii="Arial" w:cs="Arial" w:eastAsia="Arial" w:hAnsi="Arial"/>
          <w:sz w:val="11"/>
          <w:szCs w:val="11"/>
          <w:color w:val="auto"/>
        </w:rPr>
        <w:t>We are obligated to make cash payments of up to a maximum of $30 million to the former Essentialis stockholders upon the achievement of certain future commercial milestones associated with the sale of DCCR in accordance with the terms of our merger agreement with Essentialis. The fair value of the liability for the contingent consideration payable by us achieving two commercial sales milestones of $100 million in revenue and $200 million in revenue, respectively, in future years was estimated to be $10.3 million as of December 31, 2020, a $4.3 million increase from the estimate as of December 31, 2019. The step up in value is largely attributable to us announcing top-line results from our DESTINY PWS trial in June 2020. During 2019 the estimate increased $0.3 million from the liability of $5.6 million estimated at December 31, 2018.</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Other income of $11.7 million in 2020 increased $18.9 million from other expense of $7.3 million during 2019. The increase was primarily due to a $11.6 million decrease in the fair value of our outstanding warrants during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3" w:right="319" w:bottom="1440" w:gutter="0" w:footer="0" w:header="0"/>
        </w:sectPr>
      </w:pPr>
    </w:p>
    <w:bookmarkStart w:id="59" w:name="page60"/>
    <w:bookmarkEnd w:id="59"/>
    <w:p>
      <w:pPr>
        <w:ind w:right="40"/>
        <w:spacing w:after="0" w:line="263" w:lineRule="auto"/>
        <w:rPr>
          <w:sz w:val="20"/>
          <w:szCs w:val="20"/>
          <w:color w:val="auto"/>
        </w:rPr>
      </w:pPr>
      <w:r>
        <w:rPr>
          <w:rFonts w:ascii="Arial" w:cs="Arial" w:eastAsia="Arial" w:hAnsi="Arial"/>
          <w:sz w:val="12"/>
          <w:szCs w:val="12"/>
          <w:color w:val="auto"/>
        </w:rPr>
        <w:t>2020, compared to an increase of $7.0 during 2019. In addition, during 2019 we recorded a $0.5 million loss from our minority interest investment in Capnia, our former subsidiary, which includes $0.5 million for our share of Capnia’s net losses during the period, partially offset by a gain of approximately $33,000 recognized upon the sale of the investment. These increases were slightly offset by a decrease of $0.1 million in interest income recorded during 2020 compared to 2019.</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firstLine="592"/>
        <w:spacing w:after="0" w:line="289" w:lineRule="auto"/>
        <w:rPr>
          <w:sz w:val="20"/>
          <w:szCs w:val="20"/>
          <w:color w:val="auto"/>
        </w:rPr>
      </w:pPr>
      <w:r>
        <w:rPr>
          <w:rFonts w:ascii="Arial" w:cs="Arial" w:eastAsia="Arial" w:hAnsi="Arial"/>
          <w:sz w:val="11"/>
          <w:szCs w:val="11"/>
          <w:color w:val="auto"/>
        </w:rPr>
        <w:t>We had a net loss of $24.6 million during 2020 and an accumulated deficit of $182.4 million at December 31, 2020 as a result of having incurred losses since our inception. We had $49.2 million in cash and cash equivalents and $41.6 million of working capital at December 31, 2020, and used $25.2 million of cash in operating activities during 2020. We have financed our operations principally through issuances of equity securities. On June 26, 2020, we sold 34,848,484 shares of common stock in an underwritten public offering at a price of $1.65 per share for net proceeds of $53.7 million. We expect to continue incurring losses for the foreseeable future. However, we expect that our current cash and cash equivalents balance are sufficient to enable us to meet our obligations for at least the next twelve months from the date of this filing.</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 sets forth the primary sources and uses of cash and cash equivalents for each of the periods presented below:</w:t>
      </w:r>
    </w:p>
    <w:p>
      <w:pPr>
        <w:spacing w:after="0" w:line="147"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Year Ended</w:t>
      </w:r>
    </w:p>
    <w:p>
      <w:pPr>
        <w:jc w:val="center"/>
        <w:ind w:left="536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168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8"/>
                <w:szCs w:val="8"/>
                <w:color w:val="auto"/>
              </w:rPr>
            </w:pPr>
          </w:p>
        </w:tc>
      </w:tr>
      <w:tr>
        <w:trPr>
          <w:trHeight w:val="97"/>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gridSpan w:val="3"/>
          </w:tcPr>
          <w:p>
            <w:pPr>
              <w:jc w:val="right"/>
              <w:ind w:right="116"/>
              <w:spacing w:after="0" w:line="97" w:lineRule="exact"/>
              <w:rPr>
                <w:sz w:val="20"/>
                <w:szCs w:val="20"/>
                <w:color w:val="auto"/>
              </w:rPr>
            </w:pPr>
            <w:r>
              <w:rPr>
                <w:rFonts w:ascii="Arial" w:cs="Arial" w:eastAsia="Arial" w:hAnsi="Arial"/>
                <w:sz w:val="10"/>
                <w:szCs w:val="10"/>
                <w:color w:val="auto"/>
              </w:rPr>
              <w:t>(in thousands)</w:t>
            </w: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3"/>
        </w:trPr>
        <w:tc>
          <w:tcPr>
            <w:tcW w:w="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operating activities</w:t>
            </w:r>
          </w:p>
        </w:tc>
        <w:tc>
          <w:tcPr>
            <w:tcW w:w="206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8"/>
              </w:rPr>
              <w:t>(25,224)</w:t>
            </w:r>
          </w:p>
        </w:tc>
        <w:tc>
          <w:tcPr>
            <w:tcW w:w="300" w:type="dxa"/>
            <w:vAlign w:val="bottom"/>
            <w:shd w:val="clear" w:color="auto" w:fill="CFF0FC"/>
          </w:tcPr>
          <w:p>
            <w:pPr>
              <w:jc w:val="right"/>
              <w:ind w:right="236"/>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(17,375)</w:t>
            </w:r>
          </w:p>
        </w:tc>
      </w:tr>
      <w:tr>
        <w:trPr>
          <w:trHeight w:val="153"/>
        </w:trPr>
        <w:tc>
          <w:tcPr>
            <w:tcW w:w="4080" w:type="dxa"/>
            <w:vAlign w:val="bottom"/>
            <w:gridSpan w:val="2"/>
          </w:tcPr>
          <w:p>
            <w:pPr>
              <w:spacing w:after="0"/>
              <w:rPr>
                <w:sz w:val="20"/>
                <w:szCs w:val="20"/>
                <w:color w:val="auto"/>
              </w:rPr>
            </w:pPr>
            <w:r>
              <w:rPr>
                <w:rFonts w:ascii="Arial" w:cs="Arial" w:eastAsia="Arial" w:hAnsi="Arial"/>
                <w:sz w:val="12"/>
                <w:szCs w:val="12"/>
                <w:color w:val="auto"/>
              </w:rPr>
              <w:t>Net cash (used in) provided by investing activities</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(7)</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528</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financing activities</w:t>
            </w:r>
          </w:p>
        </w:tc>
        <w:tc>
          <w:tcPr>
            <w:tcW w:w="140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53,722</w:t>
            </w:r>
          </w:p>
        </w:tc>
        <w:tc>
          <w:tcPr>
            <w:tcW w:w="200" w:type="dxa"/>
            <w:vAlign w:val="bottom"/>
            <w:tcBorders>
              <w:right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14,481</w:t>
            </w:r>
          </w:p>
        </w:tc>
        <w:tc>
          <w:tcPr>
            <w:tcW w:w="60" w:type="dxa"/>
            <w:vAlign w:val="bottom"/>
            <w:shd w:val="clear" w:color="auto" w:fill="CFF0FC"/>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060" w:type="dxa"/>
            <w:vAlign w:val="bottom"/>
          </w:tcPr>
          <w:p>
            <w:pPr>
              <w:ind w:left="160"/>
              <w:spacing w:after="0"/>
              <w:rPr>
                <w:sz w:val="20"/>
                <w:szCs w:val="20"/>
                <w:color w:val="auto"/>
              </w:rPr>
            </w:pPr>
            <w:r>
              <w:rPr>
                <w:rFonts w:ascii="Arial" w:cs="Arial" w:eastAsia="Arial" w:hAnsi="Arial"/>
                <w:sz w:val="12"/>
                <w:szCs w:val="12"/>
                <w:color w:val="auto"/>
              </w:rPr>
              <w:t>Net increase (decrease) in cash and cash equivalents</w:t>
            </w:r>
          </w:p>
        </w:tc>
        <w:tc>
          <w:tcPr>
            <w:tcW w:w="206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28,491</w:t>
            </w:r>
          </w:p>
        </w:tc>
        <w:tc>
          <w:tcPr>
            <w:tcW w:w="200" w:type="dxa"/>
            <w:vAlign w:val="bottom"/>
          </w:tcPr>
          <w:p>
            <w:pPr>
              <w:spacing w:after="0"/>
              <w:rPr>
                <w:sz w:val="12"/>
                <w:szCs w:val="12"/>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(2,366)</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7"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Cash used in operating activities</w:t>
      </w:r>
    </w:p>
    <w:p>
      <w:pPr>
        <w:spacing w:after="0" w:line="78" w:lineRule="exact"/>
        <w:rPr>
          <w:sz w:val="20"/>
          <w:szCs w:val="20"/>
          <w:color w:val="auto"/>
        </w:rPr>
      </w:pPr>
    </w:p>
    <w:p>
      <w:pPr>
        <w:ind w:right="20" w:firstLine="592"/>
        <w:spacing w:after="0" w:line="263" w:lineRule="auto"/>
        <w:rPr>
          <w:sz w:val="20"/>
          <w:szCs w:val="20"/>
          <w:color w:val="auto"/>
        </w:rPr>
      </w:pPr>
      <w:r>
        <w:rPr>
          <w:rFonts w:ascii="Arial" w:cs="Arial" w:eastAsia="Arial" w:hAnsi="Arial"/>
          <w:sz w:val="12"/>
          <w:szCs w:val="12"/>
          <w:color w:val="auto"/>
        </w:rPr>
        <w:t>During 2020, operating activities used net cash of $25.2 million, which was primarily due to the loss of $24.6 million plus non-cash income of $7.3 million for the change in fair value of common stock warrants and contingent consideration, adjusted for non-cash expense of $2.0 million for depreciation and amortization, $1.5 million of stock-based compensation expense, and $0.3 million for non-cash lease expense. Additionally, the usage of cash during 2020 was reduced by $3.0 million due to changes in operating assets and liabilities.</w:t>
      </w:r>
    </w:p>
    <w:p>
      <w:pPr>
        <w:spacing w:after="0" w:line="50" w:lineRule="exact"/>
        <w:rPr>
          <w:sz w:val="20"/>
          <w:szCs w:val="20"/>
          <w:color w:val="auto"/>
        </w:rPr>
      </w:pPr>
    </w:p>
    <w:p>
      <w:pPr>
        <w:ind w:right="180" w:firstLine="592"/>
        <w:spacing w:after="0" w:line="263" w:lineRule="auto"/>
        <w:rPr>
          <w:sz w:val="20"/>
          <w:szCs w:val="20"/>
          <w:color w:val="auto"/>
        </w:rPr>
      </w:pPr>
      <w:r>
        <w:rPr>
          <w:rFonts w:ascii="Arial" w:cs="Arial" w:eastAsia="Arial" w:hAnsi="Arial"/>
          <w:sz w:val="12"/>
          <w:szCs w:val="12"/>
          <w:color w:val="auto"/>
        </w:rPr>
        <w:t>During 2019, operating activities used net cash of $17.4 million, which was primarily due to the loss of $30.8 million, adjusted for non-cash expense of $2.0 million for depreciation and amortization, $7.3 million for the change in fair value of common stock warrants and contingent consideration, $0.8 million of stock-based compensation expense, $0.4 million for non-cash lease expense, and a $0.5 million operating loss on minority interest investment. Additionally, the usage of cash during 2019 was reduced by $2.5 million due to changes in operating assets and liabilities.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Cash used in investing activities</w:t>
      </w:r>
    </w:p>
    <w:p>
      <w:pPr>
        <w:spacing w:after="0" w:line="78" w:lineRule="exact"/>
        <w:rPr>
          <w:sz w:val="20"/>
          <w:szCs w:val="20"/>
          <w:color w:val="auto"/>
        </w:rPr>
      </w:pPr>
    </w:p>
    <w:p>
      <w:pPr>
        <w:jc w:val="both"/>
        <w:ind w:right="40" w:firstLine="592"/>
        <w:spacing w:after="0" w:line="298" w:lineRule="auto"/>
        <w:rPr>
          <w:sz w:val="20"/>
          <w:szCs w:val="20"/>
          <w:color w:val="auto"/>
        </w:rPr>
      </w:pPr>
      <w:r>
        <w:rPr>
          <w:rFonts w:ascii="Arial" w:cs="Arial" w:eastAsia="Arial" w:hAnsi="Arial"/>
          <w:sz w:val="11"/>
          <w:szCs w:val="11"/>
          <w:color w:val="auto"/>
        </w:rPr>
        <w:t>During 2019, investing activities provided cash of $0.5 million, primarily a result of the $0.5 million that we received for the sale of our 47% investment in Capnia to Sinon in September 2019 and a security deposit of $0.1 million received at the expiration of our facility operating leases that expired in August 2019. This cash inflow was partially offset by cash that was used for a deposit of approximately $59,000 related to the lease that we entered into in July 2019 for 6,368 square feet of new space in Redwood City, California. There was minimal cash used during 2020 and 2019 for the costs of acquiring property and equipment.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60" w:name="page61"/>
    <w:bookmarkEnd w:id="60"/>
    <w:p>
      <w:pPr>
        <w:ind w:left="580"/>
        <w:spacing w:after="0"/>
        <w:rPr>
          <w:sz w:val="20"/>
          <w:szCs w:val="20"/>
          <w:color w:val="auto"/>
        </w:rPr>
      </w:pPr>
      <w:r>
        <w:rPr>
          <w:rFonts w:ascii="Arial" w:cs="Arial" w:eastAsia="Arial" w:hAnsi="Arial"/>
          <w:sz w:val="12"/>
          <w:szCs w:val="12"/>
          <w:b w:val="1"/>
          <w:bCs w:val="1"/>
          <w:i w:val="1"/>
          <w:iCs w:val="1"/>
          <w:color w:val="auto"/>
        </w:rPr>
        <w:t>Cash provided by financing activities</w:t>
      </w:r>
    </w:p>
    <w:p>
      <w:pPr>
        <w:spacing w:after="0" w:line="78" w:lineRule="exact"/>
        <w:rPr>
          <w:sz w:val="20"/>
          <w:szCs w:val="20"/>
          <w:color w:val="auto"/>
        </w:rPr>
      </w:pPr>
    </w:p>
    <w:p>
      <w:pPr>
        <w:ind w:right="100" w:firstLine="592"/>
        <w:spacing w:after="0" w:line="276" w:lineRule="auto"/>
        <w:rPr>
          <w:sz w:val="20"/>
          <w:szCs w:val="20"/>
          <w:color w:val="auto"/>
        </w:rPr>
      </w:pPr>
      <w:r>
        <w:rPr>
          <w:rFonts w:ascii="Arial" w:cs="Arial" w:eastAsia="Arial" w:hAnsi="Arial"/>
          <w:sz w:val="12"/>
          <w:szCs w:val="12"/>
          <w:color w:val="auto"/>
        </w:rPr>
        <w:t>During 2020, we obtained $53.7 million of cash from the sale of shares of our common stock in a public offering, net of underwriting discounts and other offering expenses. During 2019, we obtained $14.5 million of cash from the sale of common stock in a public offering, net of underwriting discounts and other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As of December 31, 2020, we had lease obligations totaling $0.2 million , consisting of an operating lease for office space in Redwood City, California, and a finance lease for office furniture.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 summarizes our contractual obligations as of December 31, 2020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w w:val="84"/>
              </w:rPr>
              <w:t>Payments due by period</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5220" w:type="dxa"/>
            <w:vAlign w:val="bottom"/>
          </w:tcPr>
          <w:p>
            <w:pPr>
              <w:spacing w:after="0"/>
              <w:rPr>
                <w:sz w:val="7"/>
                <w:szCs w:val="7"/>
                <w:color w:val="auto"/>
              </w:rPr>
            </w:pPr>
          </w:p>
        </w:tc>
        <w:tc>
          <w:tcPr>
            <w:tcW w:w="760" w:type="dxa"/>
            <w:vAlign w:val="bottom"/>
          </w:tcPr>
          <w:p>
            <w:pPr>
              <w:jc w:val="right"/>
              <w:ind w:right="8"/>
              <w:spacing w:after="0" w:line="83" w:lineRule="exact"/>
              <w:rPr>
                <w:sz w:val="20"/>
                <w:szCs w:val="20"/>
                <w:color w:val="auto"/>
              </w:rPr>
            </w:pPr>
            <w:r>
              <w:rPr>
                <w:rFonts w:ascii="Arial" w:cs="Arial" w:eastAsia="Arial" w:hAnsi="Arial"/>
                <w:sz w:val="8"/>
                <w:szCs w:val="8"/>
                <w:b w:val="1"/>
                <w:bCs w:val="1"/>
                <w:color w:val="auto"/>
              </w:rPr>
              <w:t>Less than</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jc w:val="right"/>
              <w:ind w:right="74"/>
              <w:spacing w:after="0" w:line="83" w:lineRule="exact"/>
              <w:rPr>
                <w:sz w:val="20"/>
                <w:szCs w:val="20"/>
                <w:color w:val="auto"/>
              </w:rPr>
            </w:pPr>
            <w:r>
              <w:rPr>
                <w:rFonts w:ascii="Arial" w:cs="Arial" w:eastAsia="Arial" w:hAnsi="Arial"/>
                <w:sz w:val="8"/>
                <w:szCs w:val="8"/>
                <w:b w:val="1"/>
                <w:bCs w:val="1"/>
                <w:color w:val="auto"/>
              </w:rPr>
              <w:t>1 to 3</w:t>
            </w: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tcPr>
          <w:p>
            <w:pPr>
              <w:ind w:left="160"/>
              <w:spacing w:after="0" w:line="83" w:lineRule="exact"/>
              <w:rPr>
                <w:sz w:val="20"/>
                <w:szCs w:val="20"/>
                <w:color w:val="auto"/>
              </w:rPr>
            </w:pPr>
            <w:r>
              <w:rPr>
                <w:rFonts w:ascii="Arial" w:cs="Arial" w:eastAsia="Arial" w:hAnsi="Arial"/>
                <w:sz w:val="8"/>
                <w:szCs w:val="8"/>
                <w:b w:val="1"/>
                <w:bCs w:val="1"/>
                <w:color w:val="auto"/>
              </w:rPr>
              <w:t>4 to 5</w:t>
            </w:r>
          </w:p>
        </w:tc>
        <w:tc>
          <w:tcPr>
            <w:tcW w:w="220" w:type="dxa"/>
            <w:vAlign w:val="bottom"/>
          </w:tcPr>
          <w:p>
            <w:pPr>
              <w:spacing w:after="0"/>
              <w:rPr>
                <w:sz w:val="7"/>
                <w:szCs w:val="7"/>
                <w:color w:val="auto"/>
              </w:rPr>
            </w:pPr>
          </w:p>
        </w:tc>
        <w:tc>
          <w:tcPr>
            <w:tcW w:w="1020" w:type="dxa"/>
            <w:vAlign w:val="bottom"/>
            <w:gridSpan w:val="2"/>
          </w:tcPr>
          <w:p>
            <w:pPr>
              <w:jc w:val="center"/>
              <w:ind w:right="440"/>
              <w:spacing w:after="0" w:line="83" w:lineRule="exact"/>
              <w:rPr>
                <w:sz w:val="20"/>
                <w:szCs w:val="20"/>
                <w:color w:val="auto"/>
              </w:rPr>
            </w:pPr>
            <w:r>
              <w:rPr>
                <w:rFonts w:ascii="Arial" w:cs="Arial" w:eastAsia="Arial" w:hAnsi="Arial"/>
                <w:sz w:val="8"/>
                <w:szCs w:val="8"/>
                <w:b w:val="1"/>
                <w:bCs w:val="1"/>
                <w:color w:val="auto"/>
              </w:rPr>
              <w:t>After 5</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3"/>
        </w:trPr>
        <w:tc>
          <w:tcPr>
            <w:tcW w:w="5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right"/>
              <w:ind w:right="68"/>
              <w:spacing w:after="0" w:line="114" w:lineRule="exact"/>
              <w:rPr>
                <w:sz w:val="20"/>
                <w:szCs w:val="20"/>
                <w:color w:val="auto"/>
              </w:rPr>
            </w:pPr>
            <w:r>
              <w:rPr>
                <w:rFonts w:ascii="Arial" w:cs="Arial" w:eastAsia="Arial" w:hAnsi="Arial"/>
                <w:sz w:val="10"/>
                <w:szCs w:val="10"/>
                <w:b w:val="1"/>
                <w:bCs w:val="1"/>
                <w:color w:val="auto"/>
              </w:rPr>
              <w:t>1 year</w:t>
            </w: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40" w:type="dxa"/>
            <w:vAlign w:val="bottom"/>
            <w:tcBorders>
              <w:bottom w:val="single" w:sz="8" w:color="auto"/>
            </w:tcBorders>
          </w:tcPr>
          <w:p>
            <w:pPr>
              <w:jc w:val="right"/>
              <w:ind w:right="74"/>
              <w:spacing w:after="0" w:line="114" w:lineRule="exact"/>
              <w:rPr>
                <w:sz w:val="20"/>
                <w:szCs w:val="20"/>
                <w:color w:val="auto"/>
              </w:rPr>
            </w:pPr>
            <w:r>
              <w:rPr>
                <w:rFonts w:ascii="Arial" w:cs="Arial" w:eastAsia="Arial" w:hAnsi="Arial"/>
                <w:sz w:val="10"/>
                <w:szCs w:val="10"/>
                <w:b w:val="1"/>
                <w:bCs w:val="1"/>
                <w:color w:val="auto"/>
              </w:rPr>
              <w:t>years</w:t>
            </w: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0"/>
                <w:szCs w:val="10"/>
                <w:b w:val="1"/>
                <w:bCs w:val="1"/>
                <w:color w:val="auto"/>
              </w:rPr>
              <w:t>years</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168"/>
              <w:spacing w:after="0" w:line="114" w:lineRule="exact"/>
              <w:rPr>
                <w:sz w:val="20"/>
                <w:szCs w:val="20"/>
                <w:color w:val="auto"/>
              </w:rPr>
            </w:pPr>
            <w:r>
              <w:rPr>
                <w:rFonts w:ascii="Arial" w:cs="Arial" w:eastAsia="Arial" w:hAnsi="Arial"/>
                <w:sz w:val="10"/>
                <w:szCs w:val="10"/>
                <w:b w:val="1"/>
                <w:bCs w:val="1"/>
                <w:color w:val="auto"/>
                <w:w w:val="83"/>
              </w:rPr>
              <w:t>years</w:t>
            </w:r>
          </w:p>
        </w:tc>
        <w:tc>
          <w:tcPr>
            <w:tcW w:w="2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9"/>
                <w:szCs w:val="9"/>
                <w:color w:val="auto"/>
              </w:rPr>
            </w:pPr>
          </w:p>
        </w:tc>
      </w:tr>
      <w:tr>
        <w:trPr>
          <w:trHeight w:val="142"/>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Lease obligations</w:t>
            </w:r>
          </w:p>
        </w:tc>
        <w:tc>
          <w:tcPr>
            <w:tcW w:w="76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w:t>
            </w:r>
          </w:p>
        </w:tc>
        <w:tc>
          <w:tcPr>
            <w:tcW w:w="2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34"/>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2"/>
                <w:szCs w:val="12"/>
                <w:color w:val="auto"/>
                <w:w w:val="99"/>
              </w:rPr>
              <w:t>—</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2"/>
                <w:szCs w:val="12"/>
                <w:color w:val="auto"/>
                <w:w w:val="99"/>
              </w:rPr>
              <w:t>—</w:t>
            </w:r>
          </w:p>
        </w:tc>
        <w:tc>
          <w:tcPr>
            <w:tcW w:w="2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FF0FC"/>
          </w:tcPr>
          <w:p>
            <w:pPr>
              <w:spacing w:after="0"/>
              <w:rPr>
                <w:sz w:val="12"/>
                <w:szCs w:val="12"/>
                <w:color w:val="auto"/>
              </w:rPr>
            </w:pPr>
          </w:p>
        </w:tc>
      </w:tr>
      <w:tr>
        <w:trPr>
          <w:trHeight w:val="149"/>
        </w:trPr>
        <w:tc>
          <w:tcPr>
            <w:tcW w:w="5220" w:type="dxa"/>
            <w:vAlign w:val="bottom"/>
          </w:tcPr>
          <w:p>
            <w:pPr>
              <w:spacing w:after="0"/>
              <w:rPr>
                <w:sz w:val="20"/>
                <w:szCs w:val="20"/>
                <w:color w:val="auto"/>
              </w:rPr>
            </w:pPr>
            <w:r>
              <w:rPr>
                <w:rFonts w:ascii="Arial" w:cs="Arial" w:eastAsia="Arial" w:hAnsi="Arial"/>
                <w:sz w:val="12"/>
                <w:szCs w:val="12"/>
                <w:color w:val="auto"/>
              </w:rPr>
              <w:t>Total</w:t>
            </w:r>
          </w:p>
        </w:tc>
        <w:tc>
          <w:tcPr>
            <w:tcW w:w="760" w:type="dxa"/>
            <w:vAlign w:val="bottom"/>
            <w:tcBorders>
              <w:bottom w:val="single" w:sz="8" w:color="auto"/>
            </w:tcBorders>
          </w:tcPr>
          <w:p>
            <w:pPr>
              <w:jc w:val="right"/>
              <w:ind w:right="628"/>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634"/>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w w:val="99"/>
              </w:rPr>
              <w:t>—</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right="140" w:firstLine="592"/>
        <w:spacing w:after="0" w:line="276" w:lineRule="auto"/>
        <w:rPr>
          <w:sz w:val="20"/>
          <w:szCs w:val="20"/>
          <w:color w:val="auto"/>
        </w:rPr>
      </w:pPr>
      <w:r>
        <w:rPr>
          <w:rFonts w:ascii="Arial" w:cs="Arial" w:eastAsia="Arial" w:hAnsi="Arial"/>
          <w:sz w:val="12"/>
          <w:szCs w:val="12"/>
          <w:color w:val="auto"/>
        </w:rPr>
        <w:t>We are obligated to make cash earnout payments of up to a maximum of $30.0 million to the former Essentialis stockholders upon the achievement of certain commercial milestones associated with the sale of Essentialis’ product in accordance with the terms of our merger agreement with Essentialis.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As of December 31, 2020, we had no off-balance sheet arrangements as defined in Item 303(a)(4) of Regulation S-K as promulgated by the SEC.</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Guidance Update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Issued Accounting Guidance</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From time to time, new accounting pronouncements are issued by the Financial Accounting Standards Board (FASB), or other standard setting bodies and adopted by us as of the specified effective date (see Note 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Sensitivity</w:t>
      </w:r>
    </w:p>
    <w:p>
      <w:pPr>
        <w:spacing w:after="0" w:line="82" w:lineRule="exact"/>
        <w:rPr>
          <w:sz w:val="20"/>
          <w:szCs w:val="20"/>
          <w:color w:val="auto"/>
        </w:rPr>
      </w:pPr>
    </w:p>
    <w:p>
      <w:pPr>
        <w:ind w:right="340" w:firstLine="592"/>
        <w:spacing w:after="0" w:line="379" w:lineRule="auto"/>
        <w:rPr>
          <w:sz w:val="20"/>
          <w:szCs w:val="20"/>
          <w:color w:val="auto"/>
        </w:rPr>
      </w:pPr>
      <w:r>
        <w:rPr>
          <w:rFonts w:ascii="Arial" w:cs="Arial" w:eastAsia="Arial" w:hAnsi="Arial"/>
          <w:sz w:val="10"/>
          <w:szCs w:val="10"/>
          <w:color w:val="auto"/>
        </w:rPr>
        <w:t>We had unrestricted cash and cash equivalents totaling $49.2 million at December 31, 2020.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3040" w:type="dxa"/>
            <w:vAlign w:val="bottom"/>
          </w:tcPr>
          <w:p>
            <w:pPr>
              <w:spacing w:after="0"/>
              <w:rPr>
                <w:sz w:val="13"/>
                <w:szCs w:val="13"/>
                <w:color w:val="auto"/>
              </w:rPr>
            </w:pPr>
          </w:p>
        </w:tc>
        <w:tc>
          <w:tcPr>
            <w:tcW w:w="8280" w:type="dxa"/>
            <w:vAlign w:val="bottom"/>
          </w:tcPr>
          <w:p>
            <w:pPr>
              <w:jc w:val="center"/>
              <w:ind w:right="3020"/>
              <w:spacing w:after="0"/>
              <w:rPr>
                <w:sz w:val="20"/>
                <w:szCs w:val="20"/>
                <w:color w:val="auto"/>
              </w:rPr>
            </w:pPr>
            <w:r>
              <w:rPr>
                <w:rFonts w:ascii="Arial" w:cs="Arial" w:eastAsia="Arial" w:hAnsi="Arial"/>
                <w:sz w:val="12"/>
                <w:szCs w:val="12"/>
                <w:b w:val="1"/>
                <w:bCs w:val="1"/>
                <w:color w:val="auto"/>
              </w:rPr>
              <w:t>ITEM 8. CONSOLIDATED FINANCIAL STATEMENTS AND SUPPLEMENTARY DATA</w:t>
            </w:r>
          </w:p>
        </w:tc>
      </w:tr>
      <w:tr>
        <w:trPr>
          <w:trHeight w:val="216"/>
        </w:trPr>
        <w:tc>
          <w:tcPr>
            <w:tcW w:w="3040" w:type="dxa"/>
            <w:vAlign w:val="bottom"/>
          </w:tcPr>
          <w:p>
            <w:pPr>
              <w:spacing w:after="0"/>
              <w:rPr>
                <w:sz w:val="18"/>
                <w:szCs w:val="18"/>
                <w:color w:val="auto"/>
              </w:rPr>
            </w:pPr>
          </w:p>
        </w:tc>
        <w:tc>
          <w:tcPr>
            <w:tcW w:w="8280" w:type="dxa"/>
            <w:vAlign w:val="bottom"/>
          </w:tcPr>
          <w:p>
            <w:pPr>
              <w:jc w:val="center"/>
              <w:ind w:right="3000"/>
              <w:spacing w:after="0"/>
              <w:rPr>
                <w:sz w:val="20"/>
                <w:szCs w:val="20"/>
                <w:color w:val="auto"/>
              </w:rPr>
            </w:pPr>
            <w:r>
              <w:rPr>
                <w:rFonts w:ascii="Arial" w:cs="Arial" w:eastAsia="Arial" w:hAnsi="Arial"/>
                <w:sz w:val="12"/>
                <w:szCs w:val="12"/>
                <w:b w:val="1"/>
                <w:bCs w:val="1"/>
                <w:color w:val="auto"/>
                <w:w w:val="89"/>
              </w:rPr>
              <w:t>Soleno Therapeutics, Inc.</w:t>
            </w:r>
          </w:p>
        </w:tc>
      </w:tr>
      <w:tr>
        <w:trPr>
          <w:trHeight w:val="216"/>
        </w:trPr>
        <w:tc>
          <w:tcPr>
            <w:tcW w:w="3040" w:type="dxa"/>
            <w:vAlign w:val="bottom"/>
          </w:tcPr>
          <w:p>
            <w:pPr>
              <w:spacing w:after="0"/>
              <w:rPr>
                <w:sz w:val="18"/>
                <w:szCs w:val="18"/>
                <w:color w:val="auto"/>
              </w:rPr>
            </w:pPr>
          </w:p>
        </w:tc>
        <w:tc>
          <w:tcPr>
            <w:tcW w:w="8280" w:type="dxa"/>
            <w:vAlign w:val="bottom"/>
          </w:tcPr>
          <w:p>
            <w:pPr>
              <w:jc w:val="center"/>
              <w:ind w:right="3020"/>
              <w:spacing w:after="0"/>
              <w:rPr>
                <w:sz w:val="20"/>
                <w:szCs w:val="20"/>
                <w:color w:val="auto"/>
              </w:rPr>
            </w:pPr>
            <w:r>
              <w:rPr>
                <w:rFonts w:ascii="Arial" w:cs="Arial" w:eastAsia="Arial" w:hAnsi="Arial"/>
                <w:sz w:val="12"/>
                <w:szCs w:val="12"/>
                <w:b w:val="1"/>
                <w:bCs w:val="1"/>
                <w:color w:val="auto"/>
              </w:rPr>
              <w:t>INDEX TO CONSOLIDATED FINANCIAL STATEMENTS</w:t>
            </w:r>
          </w:p>
        </w:tc>
      </w:tr>
      <w:tr>
        <w:trPr>
          <w:trHeight w:val="288"/>
        </w:trPr>
        <w:tc>
          <w:tcPr>
            <w:tcW w:w="3040" w:type="dxa"/>
            <w:vAlign w:val="bottom"/>
          </w:tcPr>
          <w:p>
            <w:pPr>
              <w:spacing w:after="0"/>
              <w:rPr>
                <w:rFonts w:ascii="Arial" w:cs="Arial" w:eastAsia="Arial" w:hAnsi="Arial"/>
                <w:sz w:val="12"/>
                <w:szCs w:val="12"/>
                <w:u w:val="single" w:color="auto"/>
                <w:color w:val="0000EE"/>
                <w:w w:val="98"/>
              </w:rPr>
            </w:pPr>
            <w:hyperlink w:anchor="page63">
              <w:r>
                <w:rPr>
                  <w:rFonts w:ascii="Arial" w:cs="Arial" w:eastAsia="Arial" w:hAnsi="Arial"/>
                  <w:sz w:val="12"/>
                  <w:szCs w:val="12"/>
                  <w:u w:val="single" w:color="auto"/>
                  <w:color w:val="0000EE"/>
                  <w:w w:val="98"/>
                </w:rPr>
                <w:t>Report of Independent Registered Public Accounting Firm</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25"/>
        </w:trPr>
        <w:tc>
          <w:tcPr>
            <w:tcW w:w="3040" w:type="dxa"/>
            <w:vAlign w:val="bottom"/>
          </w:tcPr>
          <w:p>
            <w:pPr>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Consolidated Balance Sheets</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225"/>
        </w:trPr>
        <w:tc>
          <w:tcPr>
            <w:tcW w:w="3040" w:type="dxa"/>
            <w:vAlign w:val="bottom"/>
          </w:tcPr>
          <w:p>
            <w:pPr>
              <w:spacing w:after="0"/>
              <w:rPr>
                <w:rFonts w:ascii="Arial" w:cs="Arial" w:eastAsia="Arial" w:hAnsi="Arial"/>
                <w:sz w:val="12"/>
                <w:szCs w:val="12"/>
                <w:u w:val="single" w:color="auto"/>
                <w:color w:val="0000EE"/>
              </w:rPr>
            </w:pPr>
            <w:hyperlink w:anchor="page66">
              <w:r>
                <w:rPr>
                  <w:rFonts w:ascii="Arial" w:cs="Arial" w:eastAsia="Arial" w:hAnsi="Arial"/>
                  <w:sz w:val="12"/>
                  <w:szCs w:val="12"/>
                  <w:u w:val="single" w:color="auto"/>
                  <w:color w:val="0000EE"/>
                </w:rPr>
                <w:t>Consolidated Statements of Operations</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25"/>
        </w:trPr>
        <w:tc>
          <w:tcPr>
            <w:tcW w:w="3040" w:type="dxa"/>
            <w:vAlign w:val="bottom"/>
          </w:tcPr>
          <w:p>
            <w:pPr>
              <w:spacing w:after="0"/>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Consolidated Statements of Stockholders’ Equity</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25"/>
        </w:trPr>
        <w:tc>
          <w:tcPr>
            <w:tcW w:w="3040" w:type="dxa"/>
            <w:vAlign w:val="bottom"/>
          </w:tcPr>
          <w:p>
            <w:pPr>
              <w:spacing w:after="0"/>
              <w:rPr>
                <w:rFonts w:ascii="Arial" w:cs="Arial" w:eastAsia="Arial" w:hAnsi="Arial"/>
                <w:sz w:val="12"/>
                <w:szCs w:val="12"/>
                <w:u w:val="single" w:color="auto"/>
                <w:color w:val="0000EE"/>
              </w:rPr>
            </w:pPr>
            <w:hyperlink w:anchor="page68">
              <w:r>
                <w:rPr>
                  <w:rFonts w:ascii="Arial" w:cs="Arial" w:eastAsia="Arial" w:hAnsi="Arial"/>
                  <w:sz w:val="12"/>
                  <w:szCs w:val="12"/>
                  <w:u w:val="single" w:color="auto"/>
                  <w:color w:val="0000EE"/>
                </w:rPr>
                <w:t>Consolidated Statements of Cash Flows</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225"/>
        </w:trPr>
        <w:tc>
          <w:tcPr>
            <w:tcW w:w="3040" w:type="dxa"/>
            <w:vAlign w:val="bottom"/>
          </w:tcPr>
          <w:p>
            <w:pPr>
              <w:spacing w:after="0"/>
              <w:rPr>
                <w:rFonts w:ascii="Arial" w:cs="Arial" w:eastAsia="Arial" w:hAnsi="Arial"/>
                <w:sz w:val="12"/>
                <w:szCs w:val="12"/>
                <w:u w:val="single" w:color="auto"/>
                <w:color w:val="0000EE"/>
              </w:rPr>
            </w:pPr>
            <w:hyperlink w:anchor="page69">
              <w:r>
                <w:rPr>
                  <w:rFonts w:ascii="Arial" w:cs="Arial" w:eastAsia="Arial" w:hAnsi="Arial"/>
                  <w:sz w:val="12"/>
                  <w:szCs w:val="12"/>
                  <w:u w:val="single" w:color="auto"/>
                  <w:color w:val="0000EE"/>
                </w:rPr>
                <w:t>Notes to Consolidated Financial Statements</w:t>
              </w:r>
            </w:hyperlink>
          </w:p>
        </w:tc>
        <w:tc>
          <w:tcPr>
            <w:tcW w:w="82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576"/>
        </w:trPr>
        <w:tc>
          <w:tcPr>
            <w:tcW w:w="3040" w:type="dxa"/>
            <w:vAlign w:val="bottom"/>
          </w:tcPr>
          <w:p>
            <w:pPr>
              <w:spacing w:after="0"/>
              <w:rPr>
                <w:sz w:val="24"/>
                <w:szCs w:val="24"/>
                <w:color w:val="auto"/>
              </w:rPr>
            </w:pPr>
          </w:p>
        </w:tc>
        <w:tc>
          <w:tcPr>
            <w:tcW w:w="8280" w:type="dxa"/>
            <w:vAlign w:val="bottom"/>
          </w:tcPr>
          <w:p>
            <w:pPr>
              <w:jc w:val="center"/>
              <w:ind w:right="3020"/>
              <w:spacing w:after="0"/>
              <w:rPr>
                <w:sz w:val="20"/>
                <w:szCs w:val="20"/>
                <w:color w:val="auto"/>
              </w:rPr>
            </w:pPr>
            <w:r>
              <w:rPr>
                <w:rFonts w:ascii="Arial" w:cs="Arial" w:eastAsia="Arial" w:hAnsi="Arial"/>
                <w:sz w:val="12"/>
                <w:szCs w:val="12"/>
                <w:color w:val="auto"/>
                <w:w w:val="89"/>
              </w:rPr>
              <w:t>60</w:t>
            </w:r>
          </w:p>
        </w:tc>
      </w:tr>
      <w:tr>
        <w:trPr>
          <w:trHeight w:val="72"/>
        </w:trPr>
        <w:tc>
          <w:tcPr>
            <w:tcW w:w="3040" w:type="dxa"/>
            <w:vAlign w:val="bottom"/>
            <w:tcBorders>
              <w:bottom w:val="single" w:sz="8" w:color="9A9A9A"/>
            </w:tcBorders>
          </w:tcPr>
          <w:p>
            <w:pPr>
              <w:spacing w:after="0"/>
              <w:rPr>
                <w:sz w:val="6"/>
                <w:szCs w:val="6"/>
                <w:color w:val="auto"/>
              </w:rPr>
            </w:pPr>
          </w:p>
        </w:tc>
        <w:tc>
          <w:tcPr>
            <w:tcW w:w="8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62" w:name="page63"/>
    <w:bookmarkEnd w:id="62"/>
    <w:p>
      <w:pPr>
        <w:jc w:val="center"/>
        <w:ind w:right="-7"/>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the Shareholders and Board of Directors of</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Soleno Therapeutics, Inc.</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Opinion on the Financial Statements</w:t>
      </w:r>
    </w:p>
    <w:p>
      <w:pPr>
        <w:spacing w:after="0" w:line="8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have audited the accompanying consolidated balance sheets of Soleno Therapeutics, Inc. (the “Company”) as of December 31, 2020 and 2019, the related consolidated statements of operations,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Basis for Opinion</w:t>
      </w:r>
    </w:p>
    <w:p>
      <w:pPr>
        <w:spacing w:after="0" w:line="8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jc w:val="both"/>
        <w:ind w:left="8" w:right="20"/>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Audit Matters</w:t>
      </w:r>
    </w:p>
    <w:p>
      <w:pPr>
        <w:spacing w:after="0" w:line="82"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01"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Accrual of Clinical Trial Costs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Description of the matter</w:t>
      </w:r>
    </w:p>
    <w:p>
      <w:pPr>
        <w:spacing w:after="0" w:line="7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w:t>
      </w:r>
    </w:p>
    <w:p>
      <w:pPr>
        <w:spacing w:after="0" w:line="43"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63" w:name="page64"/>
    <w:bookmarkEnd w:id="63"/>
    <w:p>
      <w:pPr>
        <w:jc w:val="both"/>
        <w:ind w:left="8"/>
        <w:spacing w:after="0" w:line="323" w:lineRule="auto"/>
        <w:rPr>
          <w:sz w:val="20"/>
          <w:szCs w:val="20"/>
          <w:color w:val="auto"/>
        </w:rPr>
      </w:pPr>
      <w:r>
        <w:rPr>
          <w:rFonts w:ascii="Arial" w:cs="Arial" w:eastAsia="Arial" w:hAnsi="Arial"/>
          <w:sz w:val="11"/>
          <w:szCs w:val="11"/>
          <w:color w:val="auto"/>
        </w:rPr>
        <w:t>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and involves a high volume of data.</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78"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the Company’s estimation process relating to accrual for clinical trial costs, corroborated the progress of clinical trials with the Company’s clinical team and obtained confirmations directly from third parties related to active patient sites, currently enrolled patients, and subject visit dates. We also tested a sample of subsequent payments to assess the impact to the accrual through the balance sheet date and compared that to the Company’s estimates.</w:t>
      </w:r>
    </w:p>
    <w:p>
      <w:pPr>
        <w:spacing w:after="0" w:line="35" w:lineRule="exact"/>
        <w:rPr>
          <w:sz w:val="20"/>
          <w:szCs w:val="20"/>
          <w:color w:val="auto"/>
        </w:rPr>
      </w:pPr>
    </w:p>
    <w:p>
      <w:pPr>
        <w:ind w:left="8" w:right="8840" w:hanging="8"/>
        <w:spacing w:after="0" w:line="371" w:lineRule="auto"/>
        <w:tabs>
          <w:tab w:leader="none" w:pos="440"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Fair Value of Contingent Consideration </w:t>
      </w:r>
      <w:r>
        <w:rPr>
          <w:rFonts w:ascii="Arial" w:cs="Arial" w:eastAsia="Arial" w:hAnsi="Arial"/>
          <w:sz w:val="12"/>
          <w:szCs w:val="12"/>
          <w:i w:val="1"/>
          <w:iCs w:val="1"/>
          <w:color w:val="auto"/>
        </w:rPr>
        <w:t>Description of the matter</w:t>
      </w:r>
    </w:p>
    <w:p>
      <w:pPr>
        <w:jc w:val="both"/>
        <w:ind w:left="8"/>
        <w:spacing w:after="0" w:line="263" w:lineRule="auto"/>
        <w:rPr>
          <w:sz w:val="20"/>
          <w:szCs w:val="20"/>
          <w:color w:val="auto"/>
        </w:rPr>
      </w:pPr>
      <w:r>
        <w:rPr>
          <w:rFonts w:ascii="Arial" w:cs="Arial" w:eastAsia="Arial" w:hAnsi="Arial"/>
          <w:sz w:val="12"/>
          <w:szCs w:val="12"/>
          <w:color w:val="auto"/>
        </w:rPr>
        <w:t>As discussed in note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and is remeasured to its estimated fair value each reporting period, with changes in fair value recorded in the statements of operations.</w:t>
      </w:r>
    </w:p>
    <w:p>
      <w:pPr>
        <w:spacing w:after="0" w:line="50"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future industry, market or economic conditions, and are forward-looking and inherently uncertain.</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How We Addressed the Matter in Our Audit</w:t>
      </w:r>
    </w:p>
    <w:p>
      <w:pPr>
        <w:spacing w:after="0" w:line="69"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w:t>
      </w:r>
    </w:p>
    <w:p>
      <w:pPr>
        <w:spacing w:after="0" w:line="338" w:lineRule="exact"/>
        <w:rPr>
          <w:sz w:val="20"/>
          <w:szCs w:val="20"/>
          <w:color w:val="auto"/>
        </w:rPr>
      </w:pPr>
    </w:p>
    <w:p>
      <w:pPr>
        <w:ind w:left="8"/>
        <w:spacing w:after="0"/>
        <w:rPr>
          <w:sz w:val="20"/>
          <w:szCs w:val="20"/>
          <w:color w:val="auto"/>
        </w:rPr>
      </w:pPr>
      <w:r>
        <w:rPr>
          <w:rFonts w:ascii="Arial" w:cs="Arial" w:eastAsia="Arial" w:hAnsi="Arial"/>
          <w:sz w:val="12"/>
          <w:szCs w:val="12"/>
          <w:color w:val="auto"/>
        </w:rPr>
        <w:t>/s/ Marcum LLP</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Marcum LLP</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served as the Company’s auditor since 2014</w:t>
      </w:r>
      <w:r>
        <w:rPr>
          <w:rFonts w:ascii="Arial" w:cs="Arial" w:eastAsia="Arial" w:hAnsi="Arial"/>
          <w:sz w:val="12"/>
          <w:szCs w:val="12"/>
          <w:b w:val="1"/>
          <w:bCs w:val="1"/>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San Francisco, CA</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March 3, 2021</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7780" w:type="dxa"/>
            <w:vAlign w:val="bottom"/>
            <w:tcBorders>
              <w:bottom w:val="single" w:sz="8" w:color="CFF0FC"/>
            </w:tcBorders>
          </w:tcPr>
          <w:p>
            <w:pPr>
              <w:spacing w:after="0"/>
              <w:rPr>
                <w:sz w:val="9"/>
                <w:szCs w:val="9"/>
                <w:color w:val="auto"/>
              </w:rPr>
            </w:pPr>
          </w:p>
        </w:tc>
        <w:tc>
          <w:tcPr>
            <w:tcW w:w="1100" w:type="dxa"/>
            <w:vAlign w:val="bottom"/>
            <w:tcBorders>
              <w:bottom w:val="single" w:sz="8" w:color="auto"/>
            </w:tcBorders>
          </w:tcPr>
          <w:p>
            <w:pPr>
              <w:jc w:val="right"/>
              <w:ind w:right="172"/>
              <w:spacing w:after="0" w:line="114" w:lineRule="exact"/>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9"/>
                <w:szCs w:val="9"/>
                <w:color w:val="auto"/>
              </w:rPr>
            </w:pPr>
          </w:p>
        </w:tc>
        <w:tc>
          <w:tcPr>
            <w:tcW w:w="28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ind w:right="621"/>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r>
      <w:tr>
        <w:trPr>
          <w:trHeight w:val="142"/>
        </w:trPr>
        <w:tc>
          <w:tcPr>
            <w:tcW w:w="7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Cash and cash equivalents</w:t>
            </w:r>
          </w:p>
        </w:tc>
        <w:tc>
          <w:tcPr>
            <w:tcW w:w="1100" w:type="dxa"/>
            <w:vAlign w:val="bottom"/>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49,224</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20,733</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1,019</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w:t>
            </w:r>
          </w:p>
        </w:tc>
        <w:tc>
          <w:tcPr>
            <w:tcW w:w="120" w:type="dxa"/>
            <w:vAlign w:val="bottom"/>
            <w:tcBorders>
              <w:bottom w:val="single" w:sz="8" w:color="CFF0FC"/>
            </w:tcBorders>
          </w:tcPr>
          <w:p>
            <w:pPr>
              <w:spacing w:after="0"/>
              <w:rPr>
                <w:sz w:val="13"/>
                <w:szCs w:val="13"/>
                <w:color w:val="auto"/>
              </w:rPr>
            </w:pPr>
          </w:p>
        </w:tc>
      </w:tr>
      <w:tr>
        <w:trPr>
          <w:trHeight w:val="142"/>
        </w:trPr>
        <w:tc>
          <w:tcPr>
            <w:tcW w:w="7780" w:type="dxa"/>
            <w:vAlign w:val="bottom"/>
            <w:shd w:val="clear" w:color="auto" w:fill="CFF0FC"/>
          </w:tcPr>
          <w:p>
            <w:pPr>
              <w:ind w:left="640"/>
              <w:spacing w:after="0"/>
              <w:rPr>
                <w:sz w:val="20"/>
                <w:szCs w:val="20"/>
                <w:color w:val="auto"/>
              </w:rPr>
            </w:pPr>
            <w:r>
              <w:rPr>
                <w:rFonts w:ascii="Arial" w:cs="Arial" w:eastAsia="Arial" w:hAnsi="Arial"/>
                <w:sz w:val="12"/>
                <w:szCs w:val="12"/>
                <w:color w:val="auto"/>
              </w:rPr>
              <w:t>Total current assets</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50,243</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21,144</w:t>
            </w: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Long-term assets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Property and equipment, net</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Operating lease right-of-use assets</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398</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Finance lease right-of-use assets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Intangible assets, net</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14,581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16,525</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Other long-term assets</w:t>
            </w:r>
          </w:p>
        </w:tc>
        <w:tc>
          <w:tcPr>
            <w:tcW w:w="1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FF0FC"/>
          </w:tcPr>
          <w:p>
            <w:pPr>
              <w:spacing w:after="0"/>
              <w:rPr>
                <w:sz w:val="13"/>
                <w:szCs w:val="13"/>
                <w:color w:val="auto"/>
              </w:rPr>
            </w:pPr>
          </w:p>
        </w:tc>
      </w:tr>
      <w:tr>
        <w:trPr>
          <w:trHeight w:val="149"/>
        </w:trPr>
        <w:tc>
          <w:tcPr>
            <w:tcW w:w="7780" w:type="dxa"/>
            <w:vAlign w:val="bottom"/>
            <w:tcBorders>
              <w:bottom w:val="single" w:sz="8" w:color="CFF0FC"/>
            </w:tcBorders>
          </w:tcPr>
          <w:p>
            <w:pPr>
              <w:ind w:left="640"/>
              <w:spacing w:after="0"/>
              <w:rPr>
                <w:sz w:val="20"/>
                <w:szCs w:val="20"/>
                <w:color w:val="auto"/>
              </w:rPr>
            </w:pPr>
            <w:r>
              <w:rPr>
                <w:rFonts w:ascii="Arial" w:cs="Arial" w:eastAsia="Arial" w:hAnsi="Arial"/>
                <w:sz w:val="12"/>
                <w:szCs w:val="12"/>
                <w:color w:val="auto"/>
              </w:rPr>
              <w:t>Total assets</w:t>
            </w:r>
          </w:p>
        </w:tc>
        <w:tc>
          <w:tcPr>
            <w:tcW w:w="1100" w:type="dxa"/>
            <w:vAlign w:val="bottom"/>
            <w:tcBorders>
              <w:top w:val="single" w:sz="8" w:color="auto"/>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64,982</w:t>
            </w:r>
          </w:p>
        </w:tc>
        <w:tc>
          <w:tcPr>
            <w:tcW w:w="28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38,172</w:t>
            </w:r>
          </w:p>
        </w:tc>
        <w:tc>
          <w:tcPr>
            <w:tcW w:w="120" w:type="dxa"/>
            <w:vAlign w:val="bottom"/>
            <w:tcBorders>
              <w:bottom w:val="single" w:sz="8" w:color="CFF0FC"/>
            </w:tcBorders>
          </w:tcPr>
          <w:p>
            <w:pPr>
              <w:spacing w:after="0"/>
              <w:rPr>
                <w:sz w:val="12"/>
                <w:szCs w:val="12"/>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Accounts payable</w:t>
            </w:r>
          </w:p>
        </w:tc>
        <w:tc>
          <w:tcPr>
            <w:tcW w:w="1100" w:type="dxa"/>
            <w:vAlign w:val="bottom"/>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3,489</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Accrued compensation</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1,005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283</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Accrued clinical trial site costs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3,789</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1,999</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Operating lease liabilities</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Other current liabilities</w:t>
            </w: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w:t>
            </w:r>
          </w:p>
        </w:tc>
        <w:tc>
          <w:tcPr>
            <w:tcW w:w="2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20" w:type="dxa"/>
            <w:vAlign w:val="bottom"/>
            <w:shd w:val="clear" w:color="auto" w:fill="CFF0FC"/>
          </w:tcPr>
          <w:p>
            <w:pPr>
              <w:spacing w:after="0"/>
              <w:rPr>
                <w:sz w:val="13"/>
                <w:szCs w:val="13"/>
                <w:color w:val="auto"/>
              </w:rPr>
            </w:pPr>
          </w:p>
        </w:tc>
      </w:tr>
      <w:tr>
        <w:trPr>
          <w:trHeight w:val="142"/>
        </w:trPr>
        <w:tc>
          <w:tcPr>
            <w:tcW w:w="7780" w:type="dxa"/>
            <w:vAlign w:val="bottom"/>
          </w:tcPr>
          <w:p>
            <w:pPr>
              <w:ind w:left="640"/>
              <w:spacing w:after="0"/>
              <w:rPr>
                <w:sz w:val="20"/>
                <w:szCs w:val="20"/>
                <w:color w:val="auto"/>
              </w:rPr>
            </w:pPr>
            <w:r>
              <w:rPr>
                <w:rFonts w:ascii="Arial" w:cs="Arial" w:eastAsia="Arial" w:hAnsi="Arial"/>
                <w:sz w:val="12"/>
                <w:szCs w:val="12"/>
                <w:color w:val="auto"/>
              </w:rPr>
              <w:t>Total current liabilities</w:t>
            </w:r>
          </w:p>
        </w:tc>
        <w:tc>
          <w:tcPr>
            <w:tcW w:w="1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8,618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4,964</w:t>
            </w:r>
          </w:p>
        </w:tc>
        <w:tc>
          <w:tcPr>
            <w:tcW w:w="120" w:type="dxa"/>
            <w:vAlign w:val="bottom"/>
          </w:tcPr>
          <w:p>
            <w:pPr>
              <w:spacing w:after="0"/>
              <w:rPr>
                <w:sz w:val="12"/>
                <w:szCs w:val="12"/>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Long-term liabilities</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2017 PIPE Warrant liability</w:t>
            </w:r>
          </w:p>
        </w:tc>
        <w:tc>
          <w:tcPr>
            <w:tcW w:w="1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10,822</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2018 PIPE Warrant liability</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ind w:left="480"/>
              <w:spacing w:after="0"/>
              <w:rPr>
                <w:sz w:val="20"/>
                <w:szCs w:val="20"/>
                <w:color w:val="auto"/>
              </w:rPr>
            </w:pPr>
            <w:r>
              <w:rPr>
                <w:rFonts w:ascii="Arial" w:cs="Arial" w:eastAsia="Arial" w:hAnsi="Arial"/>
                <w:sz w:val="12"/>
                <w:szCs w:val="12"/>
                <w:color w:val="auto"/>
              </w:rPr>
              <w:t>Contingent liability for Essentialis purchase price</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10,278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5,938</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ind w:left="480"/>
              <w:spacing w:after="0"/>
              <w:rPr>
                <w:sz w:val="20"/>
                <w:szCs w:val="20"/>
                <w:color w:val="auto"/>
              </w:rPr>
            </w:pPr>
            <w:r>
              <w:rPr>
                <w:rFonts w:ascii="Arial" w:cs="Arial" w:eastAsia="Arial" w:hAnsi="Arial"/>
                <w:sz w:val="12"/>
                <w:szCs w:val="12"/>
                <w:color w:val="auto"/>
              </w:rPr>
              <w:t>Other long-term liabilities</w:t>
            </w:r>
          </w:p>
        </w:tc>
        <w:tc>
          <w:tcPr>
            <w:tcW w:w="1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120" w:type="dxa"/>
            <w:vAlign w:val="bottom"/>
            <w:shd w:val="clear" w:color="auto" w:fill="CFF0FC"/>
          </w:tcPr>
          <w:p>
            <w:pPr>
              <w:spacing w:after="0"/>
              <w:rPr>
                <w:sz w:val="13"/>
                <w:szCs w:val="13"/>
                <w:color w:val="auto"/>
              </w:rPr>
            </w:pPr>
          </w:p>
        </w:tc>
      </w:tr>
      <w:tr>
        <w:trPr>
          <w:trHeight w:val="142"/>
        </w:trPr>
        <w:tc>
          <w:tcPr>
            <w:tcW w:w="7780" w:type="dxa"/>
            <w:vAlign w:val="bottom"/>
            <w:tcBorders>
              <w:bottom w:val="single" w:sz="8" w:color="CFF0FC"/>
            </w:tcBorders>
          </w:tcPr>
          <w:p>
            <w:pPr>
              <w:ind w:left="640"/>
              <w:spacing w:after="0"/>
              <w:rPr>
                <w:sz w:val="20"/>
                <w:szCs w:val="20"/>
                <w:color w:val="auto"/>
              </w:rPr>
            </w:pPr>
            <w:r>
              <w:rPr>
                <w:rFonts w:ascii="Arial" w:cs="Arial" w:eastAsia="Arial" w:hAnsi="Arial"/>
                <w:sz w:val="12"/>
                <w:szCs w:val="12"/>
                <w:color w:val="auto"/>
              </w:rPr>
              <w:t>Total liabilities</w:t>
            </w: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19,435</w:t>
            </w:r>
          </w:p>
        </w:tc>
        <w:tc>
          <w:tcPr>
            <w:tcW w:w="28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23,225</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 (Note 8)</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Stockholders’ equity</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Common stock, $0.001 par value, 250,000,000 and 100,000,000 shares</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authorized at December 31, 2020 and December 31, 2019, respectively,</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79,615,692 and 44,658,054 shares issued and outstanding at</w:t>
            </w: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December 31, 2020 and December 31, 2019, respectively.</w:t>
            </w: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FF0FC"/>
          </w:tcPr>
          <w:p>
            <w:pPr>
              <w:spacing w:after="0"/>
              <w:rPr>
                <w:sz w:val="13"/>
                <w:szCs w:val="13"/>
                <w:color w:val="auto"/>
              </w:rPr>
            </w:pPr>
          </w:p>
        </w:tc>
      </w:tr>
      <w:tr>
        <w:trPr>
          <w:trHeight w:val="153"/>
        </w:trPr>
        <w:tc>
          <w:tcPr>
            <w:tcW w:w="7780" w:type="dxa"/>
            <w:vAlign w:val="bottom"/>
          </w:tcPr>
          <w:p>
            <w:pPr>
              <w:spacing w:after="0"/>
              <w:rPr>
                <w:sz w:val="20"/>
                <w:szCs w:val="20"/>
                <w:color w:val="auto"/>
              </w:rPr>
            </w:pPr>
            <w:r>
              <w:rPr>
                <w:rFonts w:ascii="Arial" w:cs="Arial" w:eastAsia="Arial" w:hAnsi="Arial"/>
                <w:sz w:val="12"/>
                <w:szCs w:val="12"/>
                <w:color w:val="auto"/>
              </w:rPr>
              <w:t>Additional paid-in-capital</w:t>
            </w: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227,912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172,708</w:t>
            </w:r>
          </w:p>
        </w:tc>
        <w:tc>
          <w:tcPr>
            <w:tcW w:w="120" w:type="dxa"/>
            <w:vAlign w:val="bottom"/>
          </w:tcPr>
          <w:p>
            <w:pPr>
              <w:spacing w:after="0"/>
              <w:rPr>
                <w:sz w:val="13"/>
                <w:szCs w:val="13"/>
                <w:color w:val="auto"/>
              </w:rPr>
            </w:pPr>
          </w:p>
        </w:tc>
      </w:tr>
      <w:tr>
        <w:trPr>
          <w:trHeight w:val="153"/>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Accumulated deficit</w:t>
            </w:r>
          </w:p>
        </w:tc>
        <w:tc>
          <w:tcPr>
            <w:tcW w:w="1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93"/>
              </w:rPr>
              <w:t>(182,445)</w:t>
            </w:r>
          </w:p>
        </w:tc>
        <w:tc>
          <w:tcPr>
            <w:tcW w:w="2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(157,806)</w:t>
            </w:r>
          </w:p>
        </w:tc>
      </w:tr>
      <w:tr>
        <w:trPr>
          <w:trHeight w:val="142"/>
        </w:trPr>
        <w:tc>
          <w:tcPr>
            <w:tcW w:w="77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stockholders’ equity</w:t>
            </w: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45,547</w:t>
            </w:r>
          </w:p>
        </w:tc>
        <w:tc>
          <w:tcPr>
            <w:tcW w:w="28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14,947</w:t>
            </w:r>
          </w:p>
        </w:tc>
        <w:tc>
          <w:tcPr>
            <w:tcW w:w="120" w:type="dxa"/>
            <w:vAlign w:val="bottom"/>
            <w:tcBorders>
              <w:bottom w:val="single" w:sz="8" w:color="CFF0FC"/>
            </w:tcBorders>
          </w:tcPr>
          <w:p>
            <w:pPr>
              <w:spacing w:after="0"/>
              <w:rPr>
                <w:sz w:val="12"/>
                <w:szCs w:val="12"/>
                <w:color w:val="auto"/>
              </w:rPr>
            </w:pPr>
          </w:p>
        </w:tc>
      </w:tr>
      <w:tr>
        <w:trPr>
          <w:trHeight w:val="149"/>
        </w:trPr>
        <w:tc>
          <w:tcPr>
            <w:tcW w:w="77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liabilities and stockholders’ equity</w:t>
            </w:r>
          </w:p>
        </w:tc>
        <w:tc>
          <w:tcPr>
            <w:tcW w:w="1100" w:type="dxa"/>
            <w:vAlign w:val="bottom"/>
            <w:tcBorders>
              <w:bottom w:val="single" w:sz="8" w:color="auto"/>
            </w:tcBorders>
            <w:shd w:val="clear" w:color="auto" w:fill="CFF0FC"/>
          </w:tcPr>
          <w:p>
            <w:pPr>
              <w:jc w:val="right"/>
              <w:ind w:right="99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64,982</w:t>
            </w:r>
          </w:p>
        </w:tc>
        <w:tc>
          <w:tcPr>
            <w:tcW w:w="2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38,172</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139" w:lineRule="exact"/>
        <w:rPr>
          <w:sz w:val="20"/>
          <w:szCs w:val="20"/>
          <w:color w:val="auto"/>
        </w:rPr>
      </w:pPr>
    </w:p>
    <w:p>
      <w:pPr>
        <w:jc w:val="center"/>
        <w:ind w:left="7660"/>
        <w:spacing w:after="0"/>
        <w:rPr>
          <w:sz w:val="20"/>
          <w:szCs w:val="20"/>
          <w:color w:val="auto"/>
        </w:rPr>
      </w:pPr>
      <w:r>
        <w:rPr>
          <w:rFonts w:ascii="Arial" w:cs="Arial" w:eastAsia="Arial" w:hAnsi="Arial"/>
          <w:sz w:val="10"/>
          <w:szCs w:val="10"/>
          <w:b w:val="1"/>
          <w:bCs w:val="1"/>
          <w:color w:val="auto"/>
        </w:rPr>
        <w:t>For the Years Ended</w:t>
      </w:r>
    </w:p>
    <w:p>
      <w:pPr>
        <w:jc w:val="center"/>
        <w:ind w:left="766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7"/>
        </w:trPr>
        <w:tc>
          <w:tcPr>
            <w:tcW w:w="7780" w:type="dxa"/>
            <w:vAlign w:val="bottom"/>
            <w:tcBorders>
              <w:bottom w:val="single" w:sz="8" w:color="CFF0FC"/>
            </w:tcBorders>
          </w:tcPr>
          <w:p>
            <w:pPr>
              <w:spacing w:after="0"/>
              <w:rPr>
                <w:sz w:val="8"/>
                <w:szCs w:val="8"/>
                <w:color w:val="auto"/>
              </w:rPr>
            </w:pPr>
          </w:p>
        </w:tc>
        <w:tc>
          <w:tcPr>
            <w:tcW w:w="94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2020</w:t>
            </w:r>
          </w:p>
        </w:tc>
        <w:tc>
          <w:tcPr>
            <w:tcW w:w="62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CFF0FC"/>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80" w:type="dxa"/>
            <w:vAlign w:val="bottom"/>
            <w:tcBorders>
              <w:top w:val="single" w:sz="8" w:color="auto"/>
              <w:bottom w:val="single" w:sz="8" w:color="auto"/>
            </w:tcBorders>
          </w:tcPr>
          <w:p>
            <w:pPr>
              <w:jc w:val="right"/>
              <w:ind w:right="621"/>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78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23,191</w:t>
            </w:r>
          </w:p>
        </w:tc>
        <w:tc>
          <w:tcPr>
            <w:tcW w:w="28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16,267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8,758</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4,340</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operating expenses</w:t>
            </w:r>
          </w:p>
        </w:tc>
        <w:tc>
          <w:tcPr>
            <w:tcW w:w="9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36,289</w:t>
            </w:r>
          </w:p>
        </w:tc>
        <w:tc>
          <w:tcPr>
            <w:tcW w:w="28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23,486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20"/>
                <w:szCs w:val="20"/>
                <w:color w:val="auto"/>
              </w:rPr>
            </w:pPr>
            <w:r>
              <w:rPr>
                <w:rFonts w:ascii="Arial" w:cs="Arial" w:eastAsia="Arial" w:hAnsi="Arial"/>
                <w:sz w:val="12"/>
                <w:szCs w:val="12"/>
                <w:color w:val="auto"/>
              </w:rPr>
              <w:t>Operating loss</w:t>
            </w:r>
          </w:p>
        </w:tc>
        <w:tc>
          <w:tcPr>
            <w:tcW w:w="9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(36,289)</w:t>
            </w:r>
          </w:p>
        </w:tc>
        <w:tc>
          <w:tcPr>
            <w:tcW w:w="38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(23,486)</w:t>
            </w:r>
          </w:p>
        </w:tc>
        <w:tc>
          <w:tcPr>
            <w:tcW w:w="0" w:type="dxa"/>
            <w:vAlign w:val="bottom"/>
          </w:tcPr>
          <w:p>
            <w:pPr>
              <w:spacing w:after="0"/>
              <w:rPr>
                <w:sz w:val="1"/>
                <w:szCs w:val="1"/>
                <w:color w:val="auto"/>
              </w:rPr>
            </w:pPr>
          </w:p>
        </w:tc>
      </w:tr>
      <w:tr>
        <w:trPr>
          <w:trHeight w:val="142"/>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9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160"/>
              <w:spacing w:after="0"/>
              <w:rPr>
                <w:sz w:val="20"/>
                <w:szCs w:val="20"/>
                <w:color w:val="auto"/>
              </w:rPr>
            </w:pPr>
            <w:r>
              <w:rPr>
                <w:rFonts w:ascii="Arial" w:cs="Arial" w:eastAsia="Arial" w:hAnsi="Arial"/>
                <w:sz w:val="12"/>
                <w:szCs w:val="12"/>
                <w:color w:val="auto"/>
              </w:rPr>
              <w:t>Change in fair value of warrants liabilities</w:t>
            </w:r>
          </w:p>
        </w:tc>
        <w:tc>
          <w:tcPr>
            <w:tcW w:w="9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11,637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(6,964)</w:t>
            </w:r>
          </w:p>
        </w:tc>
        <w:tc>
          <w:tcPr>
            <w:tcW w:w="0" w:type="dxa"/>
            <w:vAlign w:val="bottom"/>
          </w:tcPr>
          <w:p>
            <w:pPr>
              <w:spacing w:after="0"/>
              <w:rPr>
                <w:sz w:val="1"/>
                <w:szCs w:val="1"/>
                <w:color w:val="auto"/>
              </w:rPr>
            </w:pPr>
          </w:p>
        </w:tc>
      </w:tr>
      <w:tr>
        <w:trPr>
          <w:trHeight w:val="153"/>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minority interest investment</w:t>
            </w:r>
          </w:p>
        </w:tc>
        <w:tc>
          <w:tcPr>
            <w:tcW w:w="9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53"/>
        </w:trPr>
        <w:tc>
          <w:tcPr>
            <w:tcW w:w="77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Interest and other income</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other income (expense)</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11,650</w:t>
            </w: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(7,288)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940" w:type="dxa"/>
            <w:vAlign w:val="bottom"/>
          </w:tcPr>
          <w:p>
            <w:pPr>
              <w:jc w:val="right"/>
              <w:ind w:right="8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(24,639)</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(30,774)</w:t>
            </w:r>
          </w:p>
        </w:tc>
        <w:tc>
          <w:tcPr>
            <w:tcW w:w="0" w:type="dxa"/>
            <w:vAlign w:val="bottom"/>
          </w:tcPr>
          <w:p>
            <w:pPr>
              <w:spacing w:after="0"/>
              <w:rPr>
                <w:sz w:val="1"/>
                <w:szCs w:val="1"/>
                <w:color w:val="auto"/>
              </w:rPr>
            </w:pPr>
          </w:p>
        </w:tc>
      </w:tr>
      <w:tr>
        <w:trPr>
          <w:trHeight w:val="27"/>
        </w:trPr>
        <w:tc>
          <w:tcPr>
            <w:tcW w:w="7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per common share, basic and diluted</w:t>
            </w: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shd w:val="clear" w:color="auto" w:fill="CFF0FC"/>
          </w:tcPr>
          <w:p>
            <w:pPr>
              <w:spacing w:after="0"/>
              <w:rPr>
                <w:sz w:val="15"/>
                <w:szCs w:val="15"/>
                <w:color w:val="auto"/>
              </w:rPr>
            </w:pPr>
          </w:p>
        </w:tc>
        <w:tc>
          <w:tcPr>
            <w:tcW w:w="940" w:type="dxa"/>
            <w:vAlign w:val="bottom"/>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(0.39)</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(0.90)</w:t>
            </w:r>
          </w:p>
        </w:tc>
        <w:tc>
          <w:tcPr>
            <w:tcW w:w="0" w:type="dxa"/>
            <w:vAlign w:val="bottom"/>
          </w:tcPr>
          <w:p>
            <w:pPr>
              <w:spacing w:after="0"/>
              <w:rPr>
                <w:sz w:val="1"/>
                <w:szCs w:val="1"/>
                <w:color w:val="auto"/>
              </w:rPr>
            </w:pPr>
          </w:p>
        </w:tc>
      </w:tr>
      <w:tr>
        <w:trPr>
          <w:trHeight w:val="131"/>
        </w:trPr>
        <w:tc>
          <w:tcPr>
            <w:tcW w:w="778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common shares outstanding used to calculate basic and</w:t>
            </w:r>
          </w:p>
        </w:tc>
        <w:tc>
          <w:tcPr>
            <w:tcW w:w="9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780" w:type="dxa"/>
            <w:vAlign w:val="bottom"/>
          </w:tcPr>
          <w:p>
            <w:pPr>
              <w:ind w:left="80"/>
              <w:spacing w:after="0"/>
              <w:rPr>
                <w:sz w:val="20"/>
                <w:szCs w:val="20"/>
                <w:color w:val="auto"/>
              </w:rPr>
            </w:pPr>
            <w:r>
              <w:rPr>
                <w:rFonts w:ascii="Arial" w:cs="Arial" w:eastAsia="Arial" w:hAnsi="Arial"/>
                <w:sz w:val="12"/>
                <w:szCs w:val="12"/>
                <w:color w:val="auto"/>
              </w:rPr>
              <w:t>diluted net loss per common share</w:t>
            </w: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62,620,227</w:t>
            </w: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34,142,478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2020" w:type="dxa"/>
            <w:vAlign w:val="bottom"/>
            <w:tcBorders>
              <w:bottom w:val="single" w:sz="8" w:color="auto"/>
            </w:tcBorders>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5"/>
              </w:rPr>
              <w:t>Paid-In</w:t>
            </w:r>
          </w:p>
        </w:tc>
        <w:tc>
          <w:tcPr>
            <w:tcW w:w="140" w:type="dxa"/>
            <w:vAlign w:val="bottom"/>
          </w:tcPr>
          <w:p>
            <w:pPr>
              <w:spacing w:after="0"/>
              <w:rPr>
                <w:sz w:val="9"/>
                <w:szCs w:val="9"/>
                <w:color w:val="auto"/>
              </w:rPr>
            </w:pPr>
          </w:p>
        </w:tc>
        <w:tc>
          <w:tcPr>
            <w:tcW w:w="110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97"/>
        </w:trPr>
        <w:tc>
          <w:tcPr>
            <w:tcW w:w="52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327"/>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128"/>
              <w:spacing w:after="0" w:line="97" w:lineRule="exact"/>
              <w:rPr>
                <w:sz w:val="20"/>
                <w:szCs w:val="20"/>
                <w:color w:val="auto"/>
              </w:rPr>
            </w:pPr>
            <w:r>
              <w:rPr>
                <w:rFonts w:ascii="Arial" w:cs="Arial" w:eastAsia="Arial" w:hAnsi="Arial"/>
                <w:sz w:val="10"/>
                <w:szCs w:val="10"/>
                <w:b w:val="1"/>
                <w:bCs w:val="1"/>
                <w:color w:val="auto"/>
                <w:w w:val="89"/>
              </w:rPr>
              <w:t>Capital</w:t>
            </w: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88"/>
              <w:spacing w:after="0" w:line="97" w:lineRule="exact"/>
              <w:rPr>
                <w:sz w:val="20"/>
                <w:szCs w:val="20"/>
                <w:color w:val="auto"/>
              </w:rPr>
            </w:pPr>
            <w:r>
              <w:rPr>
                <w:rFonts w:ascii="Arial" w:cs="Arial" w:eastAsia="Arial" w:hAnsi="Arial"/>
                <w:sz w:val="10"/>
                <w:szCs w:val="10"/>
                <w:b w:val="1"/>
                <w:bCs w:val="1"/>
                <w:color w:val="auto"/>
                <w:w w:val="84"/>
              </w:rPr>
              <w:t>Deficit</w:t>
            </w: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87"/>
              <w:spacing w:after="0" w:line="97" w:lineRule="exact"/>
              <w:rPr>
                <w:sz w:val="20"/>
                <w:szCs w:val="20"/>
                <w:color w:val="auto"/>
              </w:rPr>
            </w:pPr>
            <w:r>
              <w:rPr>
                <w:rFonts w:ascii="Arial" w:cs="Arial" w:eastAsia="Arial" w:hAnsi="Arial"/>
                <w:sz w:val="10"/>
                <w:szCs w:val="10"/>
                <w:b w:val="1"/>
                <w:bCs w:val="1"/>
                <w:color w:val="auto"/>
                <w:w w:val="84"/>
              </w:rPr>
              <w:t>Equity</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220" w:type="dxa"/>
            <w:vAlign w:val="bottom"/>
            <w:shd w:val="clear" w:color="auto" w:fill="CFF0FC"/>
          </w:tcPr>
          <w:p>
            <w:pPr>
              <w:spacing w:after="0"/>
              <w:rPr>
                <w:sz w:val="20"/>
                <w:szCs w:val="20"/>
                <w:color w:val="auto"/>
              </w:rPr>
            </w:pPr>
            <w:r>
              <w:rPr>
                <w:rFonts w:ascii="Arial" w:cs="Arial" w:eastAsia="Arial" w:hAnsi="Arial"/>
                <w:sz w:val="11"/>
                <w:szCs w:val="11"/>
                <w:color w:val="auto"/>
              </w:rPr>
              <w:t>Balances at January 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31,755,169</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157,413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(127,032)</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30,413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20" w:type="dxa"/>
            <w:vAlign w:val="bottom"/>
          </w:tcPr>
          <w:p>
            <w:pPr>
              <w:ind w:left="160"/>
              <w:spacing w:after="0"/>
              <w:rPr>
                <w:sz w:val="20"/>
                <w:szCs w:val="20"/>
                <w:color w:val="auto"/>
              </w:rPr>
            </w:pPr>
            <w:r>
              <w:rPr>
                <w:rFonts w:ascii="Arial" w:cs="Arial" w:eastAsia="Arial" w:hAnsi="Arial"/>
                <w:sz w:val="11"/>
                <w:szCs w:val="11"/>
                <w:color w:val="auto"/>
              </w:rPr>
              <w:t>Stock-based compensation</w:t>
            </w: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825</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Issuance of restricted stock units under equity incentive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61,218</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5220" w:type="dxa"/>
            <w:vAlign w:val="bottom"/>
          </w:tcPr>
          <w:p>
            <w:pPr>
              <w:ind w:left="160"/>
              <w:spacing w:after="0"/>
              <w:rPr>
                <w:sz w:val="20"/>
                <w:szCs w:val="20"/>
                <w:color w:val="auto"/>
              </w:rPr>
            </w:pPr>
            <w:r>
              <w:rPr>
                <w:rFonts w:ascii="Arial" w:cs="Arial" w:eastAsia="Arial" w:hAnsi="Arial"/>
                <w:sz w:val="11"/>
                <w:szCs w:val="11"/>
                <w:color w:val="auto"/>
              </w:rPr>
              <w:t>Sale of common stock in public offering, net 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20" w:type="dxa"/>
            <w:vAlign w:val="bottom"/>
          </w:tcPr>
          <w:p>
            <w:pPr>
              <w:ind w:left="300"/>
              <w:spacing w:after="0"/>
              <w:rPr>
                <w:sz w:val="20"/>
                <w:szCs w:val="20"/>
                <w:color w:val="auto"/>
              </w:rPr>
            </w:pPr>
            <w:r>
              <w:rPr>
                <w:rFonts w:ascii="Arial" w:cs="Arial" w:eastAsia="Arial" w:hAnsi="Arial"/>
                <w:sz w:val="11"/>
                <w:szCs w:val="11"/>
                <w:color w:val="auto"/>
              </w:rPr>
              <w:t>costs of $927</w:t>
            </w:r>
          </w:p>
        </w:tc>
        <w:tc>
          <w:tcPr>
            <w:tcW w:w="1020" w:type="dxa"/>
            <w:vAlign w:val="bottom"/>
          </w:tcPr>
          <w:p>
            <w:pPr>
              <w:jc w:val="right"/>
              <w:spacing w:after="0"/>
              <w:rPr>
                <w:sz w:val="20"/>
                <w:szCs w:val="20"/>
                <w:color w:val="auto"/>
              </w:rPr>
            </w:pPr>
            <w:r>
              <w:rPr>
                <w:rFonts w:ascii="Arial" w:cs="Arial" w:eastAsia="Arial" w:hAnsi="Arial"/>
                <w:sz w:val="11"/>
                <w:szCs w:val="11"/>
                <w:color w:val="auto"/>
              </w:rPr>
              <w:t>12,841,667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14,470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14,483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(30,774)</w:t>
            </w: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(30,774)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1"/>
                <w:szCs w:val="11"/>
                <w:color w:val="auto"/>
              </w:rPr>
              <w:t>Balances at December 31, 2019</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20" w:type="dxa"/>
            <w:vAlign w:val="bottom"/>
            <w:vMerge w:val="continue"/>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44,658,054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45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172,708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(157,806)</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14,947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Stock-based compensation</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Arial" w:cs="Arial" w:eastAsia="Arial" w:hAnsi="Arial"/>
                <w:sz w:val="11"/>
                <w:szCs w:val="11"/>
                <w:color w:val="auto"/>
              </w:rPr>
              <w:t>Issuance of restricted stock units under equity incentive plan</w:t>
            </w:r>
          </w:p>
        </w:tc>
        <w:tc>
          <w:tcPr>
            <w:tcW w:w="1020" w:type="dxa"/>
            <w:vAlign w:val="bottom"/>
          </w:tcPr>
          <w:p>
            <w:pPr>
              <w:jc w:val="right"/>
              <w:spacing w:after="0"/>
              <w:rPr>
                <w:sz w:val="20"/>
                <w:szCs w:val="20"/>
                <w:color w:val="auto"/>
              </w:rPr>
            </w:pPr>
            <w:r>
              <w:rPr>
                <w:rFonts w:ascii="Arial" w:cs="Arial" w:eastAsia="Arial" w:hAnsi="Arial"/>
                <w:sz w:val="11"/>
                <w:szCs w:val="11"/>
                <w:color w:val="auto"/>
              </w:rPr>
              <w:t>109,154</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Sale of common stock in public offering, net of</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20" w:type="dxa"/>
            <w:vAlign w:val="bottom"/>
            <w:shd w:val="clear" w:color="auto" w:fill="CFF0FC"/>
          </w:tcPr>
          <w:p>
            <w:pPr>
              <w:ind w:left="300"/>
              <w:spacing w:after="0"/>
              <w:rPr>
                <w:sz w:val="20"/>
                <w:szCs w:val="20"/>
                <w:color w:val="auto"/>
              </w:rPr>
            </w:pPr>
            <w:r>
              <w:rPr>
                <w:rFonts w:ascii="Arial" w:cs="Arial" w:eastAsia="Arial" w:hAnsi="Arial"/>
                <w:sz w:val="11"/>
                <w:szCs w:val="11"/>
                <w:color w:val="auto"/>
              </w:rPr>
              <w:t>costs of $3,778</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34,848,484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53,687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53,722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(24,639)</w:t>
            </w:r>
          </w:p>
        </w:tc>
        <w:tc>
          <w:tcPr>
            <w:tcW w:w="1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1"/>
                <w:szCs w:val="11"/>
                <w:color w:val="auto"/>
              </w:rPr>
              <w:t>(24,639)</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Balances at December 31, 2020</w:t>
            </w: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20" w:type="dxa"/>
            <w:vAlign w:val="bottom"/>
            <w:vMerge w:val="continue"/>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79,615,692</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227,912</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(182,445)</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45,547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2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7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9"/>
                <w:szCs w:val="9"/>
                <w:b w:val="1"/>
                <w:bCs w:val="1"/>
                <w:color w:val="auto"/>
                <w:w w:val="94"/>
              </w:rPr>
              <w:t>For the Years Ended December 31,</w:t>
            </w: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780" w:type="dxa"/>
            <w:vAlign w:val="bottom"/>
          </w:tcPr>
          <w:p>
            <w:pPr>
              <w:spacing w:after="0"/>
              <w:rPr>
                <w:sz w:val="8"/>
                <w:szCs w:val="8"/>
                <w:color w:val="auto"/>
              </w:rPr>
            </w:pPr>
          </w:p>
        </w:tc>
        <w:tc>
          <w:tcPr>
            <w:tcW w:w="960" w:type="dxa"/>
            <w:vAlign w:val="bottom"/>
          </w:tcPr>
          <w:p>
            <w:pPr>
              <w:jc w:val="right"/>
              <w:ind w:right="35"/>
              <w:spacing w:after="0" w:line="97" w:lineRule="exact"/>
              <w:rPr>
                <w:sz w:val="20"/>
                <w:szCs w:val="20"/>
                <w:color w:val="auto"/>
              </w:rPr>
            </w:pPr>
            <w:r>
              <w:rPr>
                <w:rFonts w:ascii="Arial" w:cs="Arial" w:eastAsia="Arial" w:hAnsi="Arial"/>
                <w:sz w:val="9"/>
                <w:szCs w:val="9"/>
                <w:b w:val="1"/>
                <w:bCs w:val="1"/>
                <w:color w:val="auto"/>
              </w:rPr>
              <w:t>2020</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jc w:val="right"/>
              <w:ind w:right="635"/>
              <w:spacing w:after="0" w:line="97"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b w:val="1"/>
                <w:bCs w:val="1"/>
                <w:color w:val="auto"/>
              </w:rPr>
              <w:t>Cash flows from operating activities: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20"/>
                <w:szCs w:val="20"/>
                <w:color w:val="auto"/>
              </w:rPr>
            </w:pPr>
            <w:r>
              <w:rPr>
                <w:rFonts w:ascii="Arial" w:cs="Arial" w:eastAsia="Arial" w:hAnsi="Arial"/>
                <w:sz w:val="9"/>
                <w:szCs w:val="9"/>
                <w:color w:val="auto"/>
              </w:rPr>
              <w:t>Net loss</w:t>
            </w:r>
          </w:p>
        </w:tc>
        <w:tc>
          <w:tcPr>
            <w:tcW w:w="960" w:type="dxa"/>
            <w:vAlign w:val="bottom"/>
          </w:tcPr>
          <w:p>
            <w:pPr>
              <w:jc w:val="right"/>
              <w:ind w:right="855"/>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(24,639)</w:t>
            </w:r>
          </w:p>
        </w:tc>
        <w:tc>
          <w:tcPr>
            <w:tcW w:w="620" w:type="dxa"/>
            <w:vAlign w:val="bottom"/>
          </w:tcPr>
          <w:p>
            <w:pPr>
              <w:jc w:val="right"/>
              <w:ind w:right="558"/>
              <w:spacing w:after="0"/>
              <w:rPr>
                <w:sz w:val="20"/>
                <w:szCs w:val="20"/>
                <w:color w:val="auto"/>
              </w:rPr>
            </w:pPr>
            <w:r>
              <w:rPr>
                <w:rFonts w:ascii="Arial" w:cs="Arial" w:eastAsia="Arial" w:hAnsi="Arial"/>
                <w:sz w:val="4"/>
                <w:szCs w:val="4"/>
                <w:color w:val="auto"/>
                <w:w w:val="87"/>
              </w:rPr>
              <w:t>$</w:t>
            </w:r>
          </w:p>
        </w:tc>
        <w:tc>
          <w:tcPr>
            <w:tcW w:w="1060" w:type="dxa"/>
            <w:vAlign w:val="bottom"/>
            <w:gridSpan w:val="2"/>
          </w:tcPr>
          <w:p>
            <w:pPr>
              <w:jc w:val="right"/>
              <w:ind w:right="80"/>
              <w:spacing w:after="0"/>
              <w:rPr>
                <w:sz w:val="20"/>
                <w:szCs w:val="20"/>
                <w:color w:val="auto"/>
              </w:rPr>
            </w:pPr>
            <w:r>
              <w:rPr>
                <w:rFonts w:ascii="Arial" w:cs="Arial" w:eastAsia="Arial" w:hAnsi="Arial"/>
                <w:sz w:val="9"/>
                <w:szCs w:val="9"/>
                <w:color w:val="auto"/>
              </w:rPr>
              <w:t>(30,774)</w:t>
            </w: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color w:val="auto"/>
              </w:rPr>
              <w:t>Adjustments to reconcile net loss to net cash used in operating activities: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160"/>
              <w:spacing w:after="0"/>
              <w:rPr>
                <w:sz w:val="20"/>
                <w:szCs w:val="20"/>
                <w:color w:val="auto"/>
              </w:rPr>
            </w:pPr>
            <w:r>
              <w:rPr>
                <w:rFonts w:ascii="Arial" w:cs="Arial" w:eastAsia="Arial" w:hAnsi="Arial"/>
                <w:sz w:val="9"/>
                <w:szCs w:val="9"/>
                <w:color w:val="auto"/>
              </w:rPr>
              <w:t>Depreciation and amortization</w:t>
            </w:r>
          </w:p>
        </w:tc>
        <w:tc>
          <w:tcPr>
            <w:tcW w:w="9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1,954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1,958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160"/>
              <w:spacing w:after="0"/>
              <w:rPr>
                <w:sz w:val="20"/>
                <w:szCs w:val="20"/>
                <w:color w:val="auto"/>
              </w:rPr>
            </w:pPr>
            <w:r>
              <w:rPr>
                <w:rFonts w:ascii="Arial" w:cs="Arial" w:eastAsia="Arial" w:hAnsi="Arial"/>
                <w:sz w:val="9"/>
                <w:szCs w:val="9"/>
                <w:color w:val="auto"/>
              </w:rPr>
              <w:t>Noncash lease expense</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9"/>
                <w:szCs w:val="9"/>
                <w:color w:val="auto"/>
              </w:rPr>
              <w:t>283</w:t>
            </w: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386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160"/>
              <w:spacing w:after="0"/>
              <w:rPr>
                <w:sz w:val="20"/>
                <w:szCs w:val="20"/>
                <w:color w:val="auto"/>
              </w:rPr>
            </w:pPr>
            <w:r>
              <w:rPr>
                <w:rFonts w:ascii="Arial" w:cs="Arial" w:eastAsia="Arial" w:hAnsi="Arial"/>
                <w:sz w:val="9"/>
                <w:szCs w:val="9"/>
                <w:color w:val="auto"/>
              </w:rPr>
              <w:t>Stock-based compensation expense</w:t>
            </w:r>
          </w:p>
        </w:tc>
        <w:tc>
          <w:tcPr>
            <w:tcW w:w="9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1,500</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825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160"/>
              <w:spacing w:after="0"/>
              <w:rPr>
                <w:sz w:val="20"/>
                <w:szCs w:val="20"/>
                <w:color w:val="auto"/>
              </w:rPr>
            </w:pPr>
            <w:r>
              <w:rPr>
                <w:rFonts w:ascii="Arial" w:cs="Arial" w:eastAsia="Arial" w:hAnsi="Arial"/>
                <w:sz w:val="9"/>
                <w:szCs w:val="9"/>
                <w:color w:val="auto"/>
              </w:rPr>
              <w:t>Change in fair value of stock warrants</w:t>
            </w:r>
          </w:p>
        </w:tc>
        <w:tc>
          <w:tcPr>
            <w:tcW w:w="9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(11,637)</w:t>
            </w: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6,964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160"/>
              <w:spacing w:after="0"/>
              <w:rPr>
                <w:sz w:val="20"/>
                <w:szCs w:val="20"/>
                <w:color w:val="auto"/>
              </w:rPr>
            </w:pPr>
            <w:r>
              <w:rPr>
                <w:rFonts w:ascii="Arial" w:cs="Arial" w:eastAsia="Arial" w:hAnsi="Arial"/>
                <w:sz w:val="9"/>
                <w:szCs w:val="9"/>
                <w:color w:val="auto"/>
              </w:rPr>
              <w:t>Change in fair value of contingent consideration</w:t>
            </w:r>
          </w:p>
        </w:tc>
        <w:tc>
          <w:tcPr>
            <w:tcW w:w="9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4,340</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289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160"/>
              <w:spacing w:after="0"/>
              <w:rPr>
                <w:sz w:val="20"/>
                <w:szCs w:val="20"/>
                <w:color w:val="auto"/>
              </w:rPr>
            </w:pPr>
            <w:r>
              <w:rPr>
                <w:rFonts w:ascii="Arial" w:cs="Arial" w:eastAsia="Arial" w:hAnsi="Arial"/>
                <w:sz w:val="9"/>
                <w:szCs w:val="9"/>
                <w:color w:val="auto"/>
              </w:rPr>
              <w:t>Operating loss of minority interest investment</w:t>
            </w:r>
          </w:p>
        </w:tc>
        <w:tc>
          <w:tcPr>
            <w:tcW w:w="9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478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160"/>
              <w:spacing w:after="0"/>
              <w:rPr>
                <w:sz w:val="20"/>
                <w:szCs w:val="20"/>
                <w:color w:val="auto"/>
              </w:rPr>
            </w:pPr>
            <w:r>
              <w:rPr>
                <w:rFonts w:ascii="Arial" w:cs="Arial" w:eastAsia="Arial" w:hAnsi="Arial"/>
                <w:sz w:val="9"/>
                <w:szCs w:val="9"/>
                <w:color w:val="auto"/>
              </w:rPr>
              <w:t>Change in operating assets and liabilities:</w:t>
            </w: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320"/>
              <w:spacing w:after="0"/>
              <w:rPr>
                <w:sz w:val="20"/>
                <w:szCs w:val="20"/>
                <w:color w:val="auto"/>
              </w:rPr>
            </w:pPr>
            <w:r>
              <w:rPr>
                <w:rFonts w:ascii="Arial" w:cs="Arial" w:eastAsia="Arial" w:hAnsi="Arial"/>
                <w:sz w:val="9"/>
                <w:szCs w:val="9"/>
                <w:color w:val="auto"/>
              </w:rPr>
              <w:t>Prepaid expenses, other current assets and other assets</w:t>
            </w:r>
          </w:p>
        </w:tc>
        <w:tc>
          <w:tcPr>
            <w:tcW w:w="9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(549)</w:t>
            </w: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10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320"/>
              <w:spacing w:after="0"/>
              <w:rPr>
                <w:sz w:val="20"/>
                <w:szCs w:val="20"/>
                <w:color w:val="auto"/>
              </w:rPr>
            </w:pPr>
            <w:r>
              <w:rPr>
                <w:rFonts w:ascii="Arial" w:cs="Arial" w:eastAsia="Arial" w:hAnsi="Arial"/>
                <w:sz w:val="9"/>
                <w:szCs w:val="9"/>
                <w:color w:val="auto"/>
              </w:rPr>
              <w:t>Due from related party</w:t>
            </w:r>
          </w:p>
        </w:tc>
        <w:tc>
          <w:tcPr>
            <w:tcW w:w="960" w:type="dxa"/>
            <w:vAlign w:val="bottom"/>
          </w:tcPr>
          <w:p>
            <w:pPr>
              <w:spacing w:after="0"/>
              <w:rPr>
                <w:sz w:val="9"/>
                <w:szCs w:val="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64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320"/>
              <w:spacing w:after="0"/>
              <w:rPr>
                <w:sz w:val="20"/>
                <w:szCs w:val="20"/>
                <w:color w:val="auto"/>
              </w:rPr>
            </w:pPr>
            <w:r>
              <w:rPr>
                <w:rFonts w:ascii="Arial" w:cs="Arial" w:eastAsia="Arial" w:hAnsi="Arial"/>
                <w:sz w:val="9"/>
                <w:szCs w:val="9"/>
                <w:color w:val="auto"/>
              </w:rPr>
              <w:t>Accounts payable</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9"/>
                <w:szCs w:val="9"/>
                <w:color w:val="auto"/>
              </w:rPr>
              <w:t>1,494</w:t>
            </w: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1,061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320"/>
              <w:spacing w:after="0"/>
              <w:rPr>
                <w:sz w:val="20"/>
                <w:szCs w:val="20"/>
                <w:color w:val="auto"/>
              </w:rPr>
            </w:pPr>
            <w:r>
              <w:rPr>
                <w:rFonts w:ascii="Arial" w:cs="Arial" w:eastAsia="Arial" w:hAnsi="Arial"/>
                <w:sz w:val="9"/>
                <w:szCs w:val="9"/>
                <w:color w:val="auto"/>
              </w:rPr>
              <w:t>Accrued compensation</w:t>
            </w:r>
          </w:p>
        </w:tc>
        <w:tc>
          <w:tcPr>
            <w:tcW w:w="9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722</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320"/>
              <w:spacing w:after="0"/>
              <w:rPr>
                <w:sz w:val="20"/>
                <w:szCs w:val="20"/>
                <w:color w:val="auto"/>
              </w:rPr>
            </w:pPr>
            <w:r>
              <w:rPr>
                <w:rFonts w:ascii="Arial" w:cs="Arial" w:eastAsia="Arial" w:hAnsi="Arial"/>
                <w:sz w:val="9"/>
                <w:szCs w:val="9"/>
                <w:color w:val="auto"/>
              </w:rPr>
              <w:t>Accrued clinical trial site costs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9"/>
                <w:szCs w:val="9"/>
                <w:color w:val="auto"/>
              </w:rPr>
              <w:t>1,790</w:t>
            </w: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1,679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ind w:left="320"/>
              <w:spacing w:after="0"/>
              <w:rPr>
                <w:sz w:val="20"/>
                <w:szCs w:val="20"/>
                <w:color w:val="auto"/>
              </w:rPr>
            </w:pPr>
            <w:r>
              <w:rPr>
                <w:rFonts w:ascii="Arial" w:cs="Arial" w:eastAsia="Arial" w:hAnsi="Arial"/>
                <w:sz w:val="9"/>
                <w:szCs w:val="9"/>
                <w:color w:val="auto"/>
              </w:rPr>
              <w:t>Operating lease liabilities</w:t>
            </w:r>
          </w:p>
        </w:tc>
        <w:tc>
          <w:tcPr>
            <w:tcW w:w="960" w:type="dxa"/>
            <w:vAlign w:val="bottom"/>
          </w:tcPr>
          <w:p>
            <w:pPr>
              <w:spacing w:after="0"/>
              <w:rPr>
                <w:sz w:val="9"/>
                <w:szCs w:val="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(305)</w:t>
            </w:r>
          </w:p>
        </w:tc>
        <w:tc>
          <w:tcPr>
            <w:tcW w:w="620" w:type="dxa"/>
            <w:vAlign w:val="bottom"/>
          </w:tcPr>
          <w:p>
            <w:pPr>
              <w:spacing w:after="0"/>
              <w:rPr>
                <w:sz w:val="9"/>
                <w:szCs w:val="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9"/>
                <w:szCs w:val="9"/>
                <w:color w:val="auto"/>
              </w:rPr>
              <w:t>(360)</w:t>
            </w: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ind w:left="320"/>
              <w:spacing w:after="0"/>
              <w:rPr>
                <w:sz w:val="20"/>
                <w:szCs w:val="20"/>
                <w:color w:val="auto"/>
              </w:rPr>
            </w:pPr>
            <w:r>
              <w:rPr>
                <w:rFonts w:ascii="Arial" w:cs="Arial" w:eastAsia="Arial" w:hAnsi="Arial"/>
                <w:sz w:val="9"/>
                <w:szCs w:val="9"/>
                <w:color w:val="auto"/>
              </w:rPr>
              <w:t>Other liabilities</w:t>
            </w:r>
          </w:p>
        </w:tc>
        <w:tc>
          <w:tcPr>
            <w:tcW w:w="9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(177)</w:t>
            </w: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9"/>
                <w:szCs w:val="9"/>
                <w:color w:val="auto"/>
              </w:rPr>
              <w:t>36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480"/>
              <w:spacing w:after="0"/>
              <w:rPr>
                <w:sz w:val="20"/>
                <w:szCs w:val="20"/>
                <w:color w:val="auto"/>
              </w:rPr>
            </w:pPr>
            <w:r>
              <w:rPr>
                <w:rFonts w:ascii="Arial" w:cs="Arial" w:eastAsia="Arial" w:hAnsi="Arial"/>
                <w:sz w:val="9"/>
                <w:szCs w:val="9"/>
                <w:b w:val="1"/>
                <w:bCs w:val="1"/>
                <w:color w:val="auto"/>
              </w:rPr>
              <w:t>Net cash used in operating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(25,224)</w:t>
            </w:r>
          </w:p>
        </w:tc>
        <w:tc>
          <w:tcPr>
            <w:tcW w:w="620" w:type="dxa"/>
            <w:vAlign w:val="bottom"/>
          </w:tcPr>
          <w:p>
            <w:pPr>
              <w:spacing w:after="0"/>
              <w:rPr>
                <w:sz w:val="8"/>
                <w:szCs w:val="8"/>
                <w:color w:val="auto"/>
              </w:rPr>
            </w:pPr>
          </w:p>
        </w:tc>
        <w:tc>
          <w:tcPr>
            <w:tcW w:w="10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(17,375)</w:t>
            </w:r>
          </w:p>
        </w:tc>
        <w:tc>
          <w:tcPr>
            <w:tcW w:w="0" w:type="dxa"/>
            <w:vAlign w:val="bottom"/>
          </w:tcPr>
          <w:p>
            <w:pPr>
              <w:spacing w:after="0"/>
              <w:rPr>
                <w:sz w:val="1"/>
                <w:szCs w:val="1"/>
                <w:color w:val="auto"/>
              </w:rPr>
            </w:pPr>
          </w:p>
        </w:tc>
      </w:tr>
      <w:tr>
        <w:trPr>
          <w:trHeight w:val="97"/>
        </w:trPr>
        <w:tc>
          <w:tcPr>
            <w:tcW w:w="7780" w:type="dxa"/>
            <w:vAlign w:val="bottom"/>
            <w:tcBorders>
              <w:top w:val="single" w:sz="8" w:color="CFF0FC"/>
            </w:tcBorders>
            <w:shd w:val="clear" w:color="auto" w:fill="CFF0FC"/>
          </w:tcPr>
          <w:p>
            <w:pPr>
              <w:spacing w:after="0" w:line="97" w:lineRule="exact"/>
              <w:rPr>
                <w:sz w:val="20"/>
                <w:szCs w:val="20"/>
                <w:color w:val="auto"/>
              </w:rPr>
            </w:pPr>
            <w:r>
              <w:rPr>
                <w:rFonts w:ascii="Arial" w:cs="Arial" w:eastAsia="Arial" w:hAnsi="Arial"/>
                <w:sz w:val="9"/>
                <w:szCs w:val="9"/>
                <w:b w:val="1"/>
                <w:bCs w:val="1"/>
                <w:color w:val="auto"/>
              </w:rPr>
              <w:t>Cash flows from investing activities:</w:t>
            </w:r>
          </w:p>
        </w:tc>
        <w:tc>
          <w:tcPr>
            <w:tcW w:w="96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20"/>
                <w:szCs w:val="20"/>
                <w:color w:val="auto"/>
              </w:rPr>
            </w:pPr>
            <w:r>
              <w:rPr>
                <w:rFonts w:ascii="Arial" w:cs="Arial" w:eastAsia="Arial" w:hAnsi="Arial"/>
                <w:sz w:val="9"/>
                <w:szCs w:val="9"/>
                <w:color w:val="auto"/>
              </w:rPr>
              <w:t>Purchases of property and equipment</w:t>
            </w:r>
          </w:p>
        </w:tc>
        <w:tc>
          <w:tcPr>
            <w:tcW w:w="960" w:type="dxa"/>
            <w:vAlign w:val="bottom"/>
          </w:tcPr>
          <w:p>
            <w:pPr>
              <w:spacing w:after="0"/>
              <w:rPr>
                <w:sz w:val="9"/>
                <w:szCs w:val="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(7)</w:t>
            </w:r>
          </w:p>
        </w:tc>
        <w:tc>
          <w:tcPr>
            <w:tcW w:w="620" w:type="dxa"/>
            <w:vAlign w:val="bottom"/>
          </w:tcPr>
          <w:p>
            <w:pPr>
              <w:spacing w:after="0"/>
              <w:rPr>
                <w:sz w:val="9"/>
                <w:szCs w:val="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color w:val="auto"/>
              </w:rPr>
              <w:t>Security deposit on sublease</w:t>
            </w:r>
          </w:p>
        </w:tc>
        <w:tc>
          <w:tcPr>
            <w:tcW w:w="96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9"/>
                <w:szCs w:val="9"/>
                <w:color w:val="auto"/>
              </w:rPr>
              <w:t>—</w:t>
            </w:r>
          </w:p>
        </w:tc>
        <w:tc>
          <w:tcPr>
            <w:tcW w:w="6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9"/>
                <w:szCs w:val="9"/>
                <w:color w:val="auto"/>
              </w:rPr>
              <w:t>(59)</w:t>
            </w:r>
          </w:p>
        </w:tc>
        <w:tc>
          <w:tcPr>
            <w:tcW w:w="0" w:type="dxa"/>
            <w:vAlign w:val="bottom"/>
          </w:tcPr>
          <w:p>
            <w:pPr>
              <w:spacing w:after="0"/>
              <w:rPr>
                <w:sz w:val="1"/>
                <w:szCs w:val="1"/>
                <w:color w:val="auto"/>
              </w:rPr>
            </w:pPr>
          </w:p>
        </w:tc>
      </w:tr>
      <w:tr>
        <w:trPr>
          <w:trHeight w:val="108"/>
        </w:trPr>
        <w:tc>
          <w:tcPr>
            <w:tcW w:w="7780" w:type="dxa"/>
            <w:vAlign w:val="bottom"/>
          </w:tcPr>
          <w:p>
            <w:pPr>
              <w:spacing w:after="0"/>
              <w:rPr>
                <w:sz w:val="20"/>
                <w:szCs w:val="20"/>
                <w:color w:val="auto"/>
              </w:rPr>
            </w:pPr>
            <w:r>
              <w:rPr>
                <w:rFonts w:ascii="Arial" w:cs="Arial" w:eastAsia="Arial" w:hAnsi="Arial"/>
                <w:sz w:val="9"/>
                <w:szCs w:val="9"/>
                <w:color w:val="auto"/>
              </w:rPr>
              <w:t>Security deposit received from expired lease</w:t>
            </w:r>
          </w:p>
        </w:tc>
        <w:tc>
          <w:tcPr>
            <w:tcW w:w="960" w:type="dxa"/>
            <w:vAlign w:val="bottom"/>
          </w:tcPr>
          <w:p>
            <w:pPr>
              <w:spacing w:after="0"/>
              <w:rPr>
                <w:sz w:val="9"/>
                <w:szCs w:val="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108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color w:val="auto"/>
              </w:rPr>
              <w:t>Proceeds from sale of minority interest investment in former subsidiary</w:t>
            </w:r>
          </w:p>
        </w:tc>
        <w:tc>
          <w:tcPr>
            <w:tcW w:w="96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w:t>
            </w:r>
          </w:p>
        </w:tc>
        <w:tc>
          <w:tcPr>
            <w:tcW w:w="28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500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780" w:type="dxa"/>
            <w:vAlign w:val="bottom"/>
          </w:tcPr>
          <w:p>
            <w:pPr>
              <w:ind w:left="480"/>
              <w:spacing w:after="0" w:line="97" w:lineRule="exact"/>
              <w:rPr>
                <w:sz w:val="20"/>
                <w:szCs w:val="20"/>
                <w:color w:val="auto"/>
              </w:rPr>
            </w:pPr>
            <w:r>
              <w:rPr>
                <w:rFonts w:ascii="Arial" w:cs="Arial" w:eastAsia="Arial" w:hAnsi="Arial"/>
                <w:sz w:val="9"/>
                <w:szCs w:val="9"/>
                <w:b w:val="1"/>
                <w:bCs w:val="1"/>
                <w:color w:val="auto"/>
              </w:rPr>
              <w:t>Net cash (used in) provided by investing activities</w:t>
            </w:r>
          </w:p>
        </w:tc>
        <w:tc>
          <w:tcPr>
            <w:tcW w:w="960" w:type="dxa"/>
            <w:vAlign w:val="bottom"/>
          </w:tcPr>
          <w:p>
            <w:pPr>
              <w:spacing w:after="0"/>
              <w:rPr>
                <w:sz w:val="8"/>
                <w:szCs w:val="8"/>
                <w:color w:val="auto"/>
              </w:rPr>
            </w:pPr>
          </w:p>
        </w:tc>
        <w:tc>
          <w:tcPr>
            <w:tcW w:w="88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(7)</w:t>
            </w:r>
          </w:p>
        </w:tc>
        <w:tc>
          <w:tcPr>
            <w:tcW w:w="620" w:type="dxa"/>
            <w:vAlign w:val="bottom"/>
          </w:tcPr>
          <w:p>
            <w:pPr>
              <w:spacing w:after="0"/>
              <w:rPr>
                <w:sz w:val="8"/>
                <w:szCs w:val="8"/>
                <w:color w:val="auto"/>
              </w:rPr>
            </w:pPr>
          </w:p>
        </w:tc>
        <w:tc>
          <w:tcPr>
            <w:tcW w:w="940" w:type="dxa"/>
            <w:vAlign w:val="bottom"/>
          </w:tcPr>
          <w:p>
            <w:pPr>
              <w:jc w:val="right"/>
              <w:spacing w:after="0" w:line="97" w:lineRule="exact"/>
              <w:rPr>
                <w:sz w:val="20"/>
                <w:szCs w:val="20"/>
                <w:color w:val="auto"/>
              </w:rPr>
            </w:pPr>
            <w:r>
              <w:rPr>
                <w:rFonts w:ascii="Arial" w:cs="Arial" w:eastAsia="Arial" w:hAnsi="Arial"/>
                <w:sz w:val="9"/>
                <w:szCs w:val="9"/>
                <w:color w:val="auto"/>
              </w:rPr>
              <w:t>528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780" w:type="dxa"/>
            <w:vAlign w:val="bottom"/>
            <w:tcBorders>
              <w:top w:val="single" w:sz="8" w:color="CFF0FC"/>
            </w:tcBorders>
            <w:shd w:val="clear" w:color="auto" w:fill="CFF0FC"/>
          </w:tcPr>
          <w:p>
            <w:pPr>
              <w:spacing w:after="0" w:line="97" w:lineRule="exact"/>
              <w:rPr>
                <w:sz w:val="20"/>
                <w:szCs w:val="20"/>
                <w:color w:val="auto"/>
              </w:rPr>
            </w:pPr>
            <w:r>
              <w:rPr>
                <w:rFonts w:ascii="Arial" w:cs="Arial" w:eastAsia="Arial" w:hAnsi="Arial"/>
                <w:sz w:val="9"/>
                <w:szCs w:val="9"/>
                <w:b w:val="1"/>
                <w:bCs w:val="1"/>
                <w:color w:val="auto"/>
              </w:rPr>
              <w:t>Cash flows from financing activities:</w:t>
            </w:r>
          </w:p>
        </w:tc>
        <w:tc>
          <w:tcPr>
            <w:tcW w:w="96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20"/>
                <w:szCs w:val="20"/>
                <w:color w:val="auto"/>
              </w:rPr>
            </w:pPr>
            <w:r>
              <w:rPr>
                <w:rFonts w:ascii="Arial" w:cs="Arial" w:eastAsia="Arial" w:hAnsi="Arial"/>
                <w:sz w:val="9"/>
                <w:szCs w:val="9"/>
                <w:color w:val="auto"/>
              </w:rPr>
              <w:t>Proceeds from sale of common stock and common stock warrants, net of costs</w:t>
            </w:r>
          </w:p>
        </w:tc>
        <w:tc>
          <w:tcPr>
            <w:tcW w:w="9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53,722</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14,483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color w:val="auto"/>
              </w:rPr>
              <w:t>Proceeds from stock option exercises</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9"/>
                <w:szCs w:val="9"/>
                <w:color w:val="auto"/>
              </w:rPr>
              <w:t>17</w:t>
            </w: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8"/>
        </w:trPr>
        <w:tc>
          <w:tcPr>
            <w:tcW w:w="7780" w:type="dxa"/>
            <w:vAlign w:val="bottom"/>
          </w:tcPr>
          <w:p>
            <w:pPr>
              <w:spacing w:after="0"/>
              <w:rPr>
                <w:sz w:val="20"/>
                <w:szCs w:val="20"/>
                <w:color w:val="auto"/>
              </w:rPr>
            </w:pPr>
            <w:r>
              <w:rPr>
                <w:rFonts w:ascii="Arial" w:cs="Arial" w:eastAsia="Arial" w:hAnsi="Arial"/>
                <w:sz w:val="9"/>
                <w:szCs w:val="9"/>
                <w:color w:val="auto"/>
              </w:rPr>
              <w:t>Principal paid on finance lease liabilities</w:t>
            </w:r>
          </w:p>
        </w:tc>
        <w:tc>
          <w:tcPr>
            <w:tcW w:w="960" w:type="dxa"/>
            <w:vAlign w:val="bottom"/>
          </w:tcPr>
          <w:p>
            <w:pPr>
              <w:spacing w:after="0"/>
              <w:rPr>
                <w:sz w:val="9"/>
                <w:szCs w:val="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(17)</w:t>
            </w:r>
          </w:p>
        </w:tc>
        <w:tc>
          <w:tcPr>
            <w:tcW w:w="620" w:type="dxa"/>
            <w:vAlign w:val="bottom"/>
          </w:tcPr>
          <w:p>
            <w:pPr>
              <w:spacing w:after="0"/>
              <w:rPr>
                <w:sz w:val="9"/>
                <w:szCs w:val="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7"/>
        </w:trPr>
        <w:tc>
          <w:tcPr>
            <w:tcW w:w="7780" w:type="dxa"/>
            <w:vAlign w:val="bottom"/>
            <w:tcBorders>
              <w:top w:val="single" w:sz="8" w:color="CFF0FC"/>
            </w:tcBorders>
            <w:shd w:val="clear" w:color="auto" w:fill="CFF0FC"/>
          </w:tcPr>
          <w:p>
            <w:pPr>
              <w:ind w:left="480"/>
              <w:spacing w:after="0" w:line="97" w:lineRule="exact"/>
              <w:rPr>
                <w:sz w:val="20"/>
                <w:szCs w:val="20"/>
                <w:color w:val="auto"/>
              </w:rPr>
            </w:pPr>
            <w:r>
              <w:rPr>
                <w:rFonts w:ascii="Arial" w:cs="Arial" w:eastAsia="Arial" w:hAnsi="Arial"/>
                <w:sz w:val="9"/>
                <w:szCs w:val="9"/>
                <w:b w:val="1"/>
                <w:bCs w:val="1"/>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8"/>
                <w:szCs w:val="8"/>
                <w:color w:val="auto"/>
              </w:rPr>
            </w:pPr>
          </w:p>
        </w:tc>
        <w:tc>
          <w:tcPr>
            <w:tcW w:w="6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9"/>
                <w:szCs w:val="9"/>
                <w:color w:val="auto"/>
              </w:rPr>
              <w:t>53,722</w:t>
            </w:r>
          </w:p>
        </w:tc>
        <w:tc>
          <w:tcPr>
            <w:tcW w:w="280" w:type="dxa"/>
            <w:vAlign w:val="bottom"/>
            <w:tcBorders>
              <w:top w:val="single" w:sz="8" w:color="CFF0FC"/>
            </w:tcBorders>
            <w:shd w:val="clear" w:color="auto" w:fill="CFF0FC"/>
          </w:tcPr>
          <w:p>
            <w:pPr>
              <w:spacing w:after="0"/>
              <w:rPr>
                <w:sz w:val="8"/>
                <w:szCs w:val="8"/>
                <w:color w:val="auto"/>
              </w:rPr>
            </w:pPr>
          </w:p>
        </w:tc>
        <w:tc>
          <w:tcPr>
            <w:tcW w:w="620" w:type="dxa"/>
            <w:vAlign w:val="bottom"/>
            <w:tcBorders>
              <w:top w:val="single" w:sz="8" w:color="auto"/>
              <w:bottom w:val="single" w:sz="8" w:color="auto"/>
            </w:tcBorders>
            <w:shd w:val="clear" w:color="auto" w:fill="CFF0FC"/>
          </w:tcPr>
          <w:p>
            <w:pPr>
              <w:spacing w:after="0"/>
              <w:rPr>
                <w:sz w:val="8"/>
                <w:szCs w:val="8"/>
                <w:color w:val="auto"/>
              </w:rPr>
            </w:pP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9"/>
                <w:szCs w:val="9"/>
                <w:color w:val="auto"/>
              </w:rPr>
              <w:t>14,481</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780" w:type="dxa"/>
            <w:vAlign w:val="bottom"/>
          </w:tcPr>
          <w:p>
            <w:pPr>
              <w:ind w:left="320"/>
              <w:spacing w:after="0" w:line="97" w:lineRule="exact"/>
              <w:rPr>
                <w:sz w:val="20"/>
                <w:szCs w:val="20"/>
                <w:color w:val="auto"/>
              </w:rPr>
            </w:pPr>
            <w:r>
              <w:rPr>
                <w:rFonts w:ascii="Arial" w:cs="Arial" w:eastAsia="Arial" w:hAnsi="Arial"/>
                <w:sz w:val="9"/>
                <w:szCs w:val="9"/>
                <w:color w:val="auto"/>
              </w:rPr>
              <w:t>Net increase (decrease) in cash and cash equivalents</w:t>
            </w:r>
          </w:p>
        </w:tc>
        <w:tc>
          <w:tcPr>
            <w:tcW w:w="960" w:type="dxa"/>
            <w:vAlign w:val="bottom"/>
          </w:tcPr>
          <w:p>
            <w:pPr>
              <w:spacing w:after="0"/>
              <w:rPr>
                <w:sz w:val="8"/>
                <w:szCs w:val="8"/>
                <w:color w:val="auto"/>
              </w:rPr>
            </w:pPr>
          </w:p>
        </w:tc>
        <w:tc>
          <w:tcPr>
            <w:tcW w:w="600" w:type="dxa"/>
            <w:vAlign w:val="bottom"/>
          </w:tcPr>
          <w:p>
            <w:pPr>
              <w:jc w:val="right"/>
              <w:spacing w:after="0" w:line="97" w:lineRule="exact"/>
              <w:rPr>
                <w:sz w:val="20"/>
                <w:szCs w:val="20"/>
                <w:color w:val="auto"/>
              </w:rPr>
            </w:pPr>
            <w:r>
              <w:rPr>
                <w:rFonts w:ascii="Arial" w:cs="Arial" w:eastAsia="Arial" w:hAnsi="Arial"/>
                <w:sz w:val="9"/>
                <w:szCs w:val="9"/>
                <w:color w:val="auto"/>
              </w:rPr>
              <w:t>28,491</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(2,366)</w:t>
            </w: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color w:val="auto"/>
              </w:rPr>
              <w:t>Cash and cash equivalents, beginning of period</w:t>
            </w:r>
          </w:p>
        </w:tc>
        <w:tc>
          <w:tcPr>
            <w:tcW w:w="96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20,733</w:t>
            </w:r>
          </w:p>
        </w:tc>
        <w:tc>
          <w:tcPr>
            <w:tcW w:w="280" w:type="dxa"/>
            <w:vAlign w:val="bottom"/>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spacing w:after="0"/>
              <w:rPr>
                <w:sz w:val="9"/>
                <w:szCs w:val="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rPr>
              <w:t>23,099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780" w:type="dxa"/>
            <w:vAlign w:val="bottom"/>
          </w:tcPr>
          <w:p>
            <w:pPr>
              <w:spacing w:after="0" w:line="97" w:lineRule="exact"/>
              <w:rPr>
                <w:sz w:val="20"/>
                <w:szCs w:val="20"/>
                <w:color w:val="auto"/>
              </w:rPr>
            </w:pPr>
            <w:r>
              <w:rPr>
                <w:rFonts w:ascii="Arial" w:cs="Arial" w:eastAsia="Arial" w:hAnsi="Arial"/>
                <w:sz w:val="9"/>
                <w:szCs w:val="9"/>
                <w:b w:val="1"/>
                <w:bCs w:val="1"/>
                <w:color w:val="auto"/>
              </w:rPr>
              <w:t>Cash and cash equivalents, end of period</w:t>
            </w:r>
          </w:p>
        </w:tc>
        <w:tc>
          <w:tcPr>
            <w:tcW w:w="960" w:type="dxa"/>
            <w:vAlign w:val="bottom"/>
            <w:tcBorders>
              <w:bottom w:val="single" w:sz="8" w:color="auto"/>
            </w:tcBorders>
          </w:tcPr>
          <w:p>
            <w:pPr>
              <w:jc w:val="right"/>
              <w:ind w:right="855"/>
              <w:spacing w:after="0" w:line="97" w:lineRule="exact"/>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49,224</w:t>
            </w:r>
          </w:p>
        </w:tc>
        <w:tc>
          <w:tcPr>
            <w:tcW w:w="280" w:type="dxa"/>
            <w:vAlign w:val="bottom"/>
          </w:tcPr>
          <w:p>
            <w:pPr>
              <w:spacing w:after="0"/>
              <w:rPr>
                <w:sz w:val="9"/>
                <w:szCs w:val="9"/>
                <w:color w:val="auto"/>
              </w:rPr>
            </w:pPr>
          </w:p>
        </w:tc>
        <w:tc>
          <w:tcPr>
            <w:tcW w:w="620" w:type="dxa"/>
            <w:vAlign w:val="bottom"/>
            <w:tcBorders>
              <w:bottom w:val="single" w:sz="8" w:color="auto"/>
            </w:tcBorders>
          </w:tcPr>
          <w:p>
            <w:pPr>
              <w:jc w:val="right"/>
              <w:ind w:right="558"/>
              <w:spacing w:after="0"/>
              <w:rPr>
                <w:sz w:val="20"/>
                <w:szCs w:val="20"/>
                <w:color w:val="auto"/>
              </w:rPr>
            </w:pPr>
            <w:r>
              <w:rPr>
                <w:rFonts w:ascii="Arial" w:cs="Arial" w:eastAsia="Arial" w:hAnsi="Arial"/>
                <w:sz w:val="4"/>
                <w:szCs w:val="4"/>
                <w:color w:val="auto"/>
                <w:w w:val="87"/>
              </w:rPr>
              <w:t>$</w:t>
            </w:r>
          </w:p>
        </w:tc>
        <w:tc>
          <w:tcPr>
            <w:tcW w:w="9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20,733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80" w:type="dxa"/>
            <w:vAlign w:val="bottom"/>
            <w:shd w:val="clear" w:color="auto" w:fill="CFF0FC"/>
          </w:tcPr>
          <w:p>
            <w:pPr>
              <w:spacing w:after="0"/>
              <w:rPr>
                <w:sz w:val="20"/>
                <w:szCs w:val="20"/>
                <w:color w:val="auto"/>
              </w:rPr>
            </w:pPr>
            <w:r>
              <w:rPr>
                <w:rFonts w:ascii="Arial" w:cs="Arial" w:eastAsia="Arial" w:hAnsi="Arial"/>
                <w:sz w:val="9"/>
                <w:szCs w:val="9"/>
                <w:b w:val="1"/>
                <w:bCs w:val="1"/>
                <w:color w:val="auto"/>
              </w:rPr>
              <w:t>Supplemental disclosure of non-cash investing information</w:t>
            </w:r>
          </w:p>
        </w:tc>
        <w:tc>
          <w:tcPr>
            <w:tcW w:w="9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780" w:type="dxa"/>
            <w:vAlign w:val="bottom"/>
          </w:tcPr>
          <w:p>
            <w:pPr>
              <w:spacing w:after="0"/>
              <w:rPr>
                <w:sz w:val="20"/>
                <w:szCs w:val="20"/>
                <w:color w:val="auto"/>
              </w:rPr>
            </w:pPr>
            <w:r>
              <w:rPr>
                <w:rFonts w:ascii="Arial" w:cs="Arial" w:eastAsia="Arial" w:hAnsi="Arial"/>
                <w:sz w:val="9"/>
                <w:szCs w:val="9"/>
                <w:color w:val="auto"/>
              </w:rPr>
              <w:t>Purchases of property and equipment in accounts payable</w:t>
            </w:r>
          </w:p>
        </w:tc>
        <w:tc>
          <w:tcPr>
            <w:tcW w:w="960" w:type="dxa"/>
            <w:vAlign w:val="bottom"/>
            <w:tcBorders>
              <w:bottom w:val="single" w:sz="8" w:color="auto"/>
            </w:tcBorders>
          </w:tcPr>
          <w:p>
            <w:pPr>
              <w:jc w:val="right"/>
              <w:ind w:right="855"/>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280" w:type="dxa"/>
            <w:vAlign w:val="bottom"/>
          </w:tcPr>
          <w:p>
            <w:pPr>
              <w:spacing w:after="0"/>
              <w:rPr>
                <w:sz w:val="10"/>
                <w:szCs w:val="10"/>
                <w:color w:val="auto"/>
              </w:rPr>
            </w:pPr>
          </w:p>
        </w:tc>
        <w:tc>
          <w:tcPr>
            <w:tcW w:w="620" w:type="dxa"/>
            <w:vAlign w:val="bottom"/>
            <w:tcBorders>
              <w:bottom w:val="single" w:sz="8" w:color="auto"/>
            </w:tcBorders>
          </w:tcPr>
          <w:p>
            <w:pPr>
              <w:jc w:val="right"/>
              <w:ind w:right="558"/>
              <w:spacing w:after="0"/>
              <w:rPr>
                <w:sz w:val="20"/>
                <w:szCs w:val="20"/>
                <w:color w:val="auto"/>
              </w:rPr>
            </w:pPr>
            <w:r>
              <w:rPr>
                <w:rFonts w:ascii="Arial" w:cs="Arial" w:eastAsia="Arial" w:hAnsi="Arial"/>
                <w:sz w:val="4"/>
                <w:szCs w:val="4"/>
                <w:color w:val="auto"/>
                <w:w w:val="8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Overview</w:t>
      </w:r>
    </w:p>
    <w:p>
      <w:pPr>
        <w:spacing w:after="0" w:line="154" w:lineRule="exact"/>
        <w:rPr>
          <w:sz w:val="20"/>
          <w:szCs w:val="20"/>
          <w:color w:val="auto"/>
        </w:rPr>
      </w:pPr>
    </w:p>
    <w:p>
      <w:pPr>
        <w:ind w:right="320" w:firstLine="592"/>
        <w:spacing w:after="0" w:line="323" w:lineRule="auto"/>
        <w:rPr>
          <w:sz w:val="20"/>
          <w:szCs w:val="20"/>
          <w:color w:val="auto"/>
        </w:rPr>
      </w:pPr>
      <w:r>
        <w:rPr>
          <w:rFonts w:ascii="Arial" w:cs="Arial" w:eastAsia="Arial" w:hAnsi="Arial"/>
          <w:sz w:val="11"/>
          <w:szCs w:val="11"/>
          <w:color w:val="auto"/>
        </w:rPr>
        <w:t>Soleno Therapeutics, Inc. (the Company or Soleno) is focused on the development and commercialization of novel therapeutics for the treatment of rare diseases. Our lead candidate is Diazoxide Choline Controller Release tablets (DCCR), a once-daily oral tablet for the treatment of Prader-Willi Syndrome (PWS). DCCR has orphan designation for the treatment of PWS in the United States (U.S.) as well as in the European Union (E.U.).</w:t>
      </w:r>
    </w:p>
    <w:p>
      <w:pPr>
        <w:spacing w:after="0" w:line="92" w:lineRule="exact"/>
        <w:rPr>
          <w:sz w:val="20"/>
          <w:szCs w:val="20"/>
          <w:color w:val="auto"/>
        </w:rPr>
      </w:pPr>
    </w:p>
    <w:p>
      <w:pPr>
        <w:ind w:right="20" w:firstLine="592"/>
        <w:spacing w:after="0" w:line="256" w:lineRule="auto"/>
        <w:rPr>
          <w:sz w:val="20"/>
          <w:szCs w:val="20"/>
          <w:color w:val="auto"/>
        </w:rPr>
      </w:pPr>
      <w:r>
        <w:rPr>
          <w:rFonts w:ascii="Arial" w:cs="Arial" w:eastAsia="Arial" w:hAnsi="Arial"/>
          <w:sz w:val="12"/>
          <w:szCs w:val="12"/>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In March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128" w:lineRule="exact"/>
        <w:rPr>
          <w:sz w:val="20"/>
          <w:szCs w:val="20"/>
          <w:color w:val="auto"/>
        </w:rPr>
      </w:pPr>
    </w:p>
    <w:p>
      <w:pPr>
        <w:ind w:right="40" w:firstLine="592"/>
        <w:spacing w:after="0" w:line="256" w:lineRule="auto"/>
        <w:rPr>
          <w:sz w:val="20"/>
          <w:szCs w:val="20"/>
          <w:color w:val="auto"/>
        </w:rPr>
      </w:pPr>
      <w:r>
        <w:rPr>
          <w:rFonts w:ascii="Arial" w:cs="Arial" w:eastAsia="Arial" w:hAnsi="Arial"/>
          <w:sz w:val="12"/>
          <w:szCs w:val="12"/>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the Company announced analysis limited to data collected before the onset of the COVID-19 pandemic. The analysis of the data through March 1, 2020 showed statistical significance in the primary, all key secondary and several other efficacy endpoints. The Company is evaluating the data and is in communication with the regulatory authorities to determine next steps.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Liquidity</w:t>
      </w:r>
    </w:p>
    <w:p>
      <w:pPr>
        <w:spacing w:after="0" w:line="82" w:lineRule="exact"/>
        <w:rPr>
          <w:sz w:val="20"/>
          <w:szCs w:val="20"/>
          <w:color w:val="auto"/>
        </w:rPr>
      </w:pPr>
    </w:p>
    <w:p>
      <w:pPr>
        <w:ind w:firstLine="592"/>
        <w:spacing w:after="0" w:line="289" w:lineRule="auto"/>
        <w:rPr>
          <w:sz w:val="20"/>
          <w:szCs w:val="20"/>
          <w:color w:val="auto"/>
        </w:rPr>
      </w:pPr>
      <w:r>
        <w:rPr>
          <w:rFonts w:ascii="Arial" w:cs="Arial" w:eastAsia="Arial" w:hAnsi="Arial"/>
          <w:sz w:val="11"/>
          <w:szCs w:val="11"/>
          <w:color w:val="auto"/>
        </w:rPr>
        <w:t>The Company had a net loss of $24.6 million during 2020 and has an accumulated deficit of $182.4 million at December 31, 2020 resulting from having incurred losses since its inception. The Company had $49.2 million of cash and cash equivalents on hand at December 31, 2020 and used $25.2 million of cash in its operating activities during 2020. The Company has financed its operations principally through issuances of equity securities. On June 26, 2020, the Company sold 34,848,484 shares of common stock in an underwritten public offering at a price of $1.65 per share for net proceeds of $53.7 million. The Company expects to continue incurring losses for the foreseeable future. However, the Company expects that its current cash and cash equivalents balance are sufficient to enable the Company to meet its obligations for at least the next twelve months from the date of this filing.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accompanying consolidated financial statements have been prepared in accordance with accounting principles generally accepted in the United States of America (GAAP), and the applicable rules and regulations of the Securities and Exchange Commission (SEC).</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consolidated financial statements include the accounts of the Company and its wholly-owned subsidiaries. All intercompany transactions and balances have been eliminated in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ind w:firstLine="592"/>
        <w:spacing w:after="0" w:line="259" w:lineRule="auto"/>
        <w:rPr>
          <w:sz w:val="20"/>
          <w:szCs w:val="20"/>
          <w:color w:val="auto"/>
        </w:rPr>
      </w:pPr>
      <w:r>
        <w:rPr>
          <w:rFonts w:ascii="Arial" w:cs="Arial" w:eastAsia="Arial" w:hAnsi="Arial"/>
          <w:sz w:val="12"/>
          <w:szCs w:val="12"/>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contactor clinical trial activities, value and life of acquired intangibles, and the valuation of contingent liabilities for the purchase price of assets obtained through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right="20" w:firstLine="592"/>
        <w:spacing w:after="0" w:line="323" w:lineRule="auto"/>
        <w:rPr>
          <w:sz w:val="20"/>
          <w:szCs w:val="20"/>
          <w:color w:val="auto"/>
        </w:rPr>
      </w:pPr>
      <w:r>
        <w:rPr>
          <w:rFonts w:ascii="Arial" w:cs="Arial" w:eastAsia="Arial" w:hAnsi="Arial"/>
          <w:sz w:val="11"/>
          <w:szCs w:val="11"/>
          <w:color w:val="auto"/>
        </w:rPr>
        <w:t>Financial instruments that potentially subject the Company to a concentration of credit risk consist of cash and cash equivalents at one U.S. commercial bank. Cash and cash equivalents deposited with this commercial bank exceeded the Federal Deposit Insurance Corporation insurable limit at December 31, 2020 and 2019. The Company expects the maintenance of balances in excess of insurable limits will continue.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Segments</w:t>
      </w:r>
    </w:p>
    <w:p>
      <w:pPr>
        <w:spacing w:after="0" w:line="78" w:lineRule="exact"/>
        <w:rPr>
          <w:sz w:val="20"/>
          <w:szCs w:val="20"/>
          <w:color w:val="auto"/>
        </w:rPr>
      </w:pPr>
    </w:p>
    <w:p>
      <w:pPr>
        <w:ind w:right="160" w:firstLine="592"/>
        <w:spacing w:after="0" w:line="276" w:lineRule="auto"/>
        <w:rPr>
          <w:sz w:val="20"/>
          <w:szCs w:val="20"/>
          <w:color w:val="auto"/>
        </w:rPr>
      </w:pPr>
      <w:r>
        <w:rPr>
          <w:rFonts w:ascii="Arial" w:cs="Arial" w:eastAsia="Arial" w:hAnsi="Arial"/>
          <w:sz w:val="12"/>
          <w:szCs w:val="12"/>
          <w:color w:val="auto"/>
        </w:rPr>
        <w:t>The Company operates in one segment. Management uses one measurement of profitability and does not segregate its business for internal reporting, making operating decisions, and assessing financial performance. All long-lived assets are maintained in the U.S.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Company considers all highly liquid investments, including its money market fund, purchased with an original maturity of three months or less to be cash equivalents. The Company’s cash and cash equivalents are held in institutions in the U.S., the U.K. and Ireland and include deposits in a money market fund which was unrestricted as to withdrawal or use.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78" w:lineRule="exact"/>
        <w:rPr>
          <w:sz w:val="20"/>
          <w:szCs w:val="20"/>
          <w:color w:val="auto"/>
        </w:rPr>
      </w:pPr>
    </w:p>
    <w:p>
      <w:pPr>
        <w:ind w:right="360" w:firstLine="592"/>
        <w:spacing w:after="0" w:line="276" w:lineRule="auto"/>
        <w:rPr>
          <w:sz w:val="20"/>
          <w:szCs w:val="20"/>
          <w:color w:val="auto"/>
        </w:rPr>
      </w:pPr>
      <w:r>
        <w:rPr>
          <w:rFonts w:ascii="Arial" w:cs="Arial" w:eastAsia="Arial" w:hAnsi="Arial"/>
          <w:sz w:val="12"/>
          <w:szCs w:val="12"/>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78" w:lineRule="exact"/>
        <w:rPr>
          <w:sz w:val="20"/>
          <w:szCs w:val="20"/>
          <w:color w:val="auto"/>
        </w:rPr>
      </w:pPr>
    </w:p>
    <w:p>
      <w:pPr>
        <w:ind w:right="60" w:firstLine="592"/>
        <w:spacing w:after="0" w:line="298" w:lineRule="auto"/>
        <w:rPr>
          <w:sz w:val="20"/>
          <w:szCs w:val="20"/>
          <w:color w:val="auto"/>
        </w:rPr>
      </w:pPr>
      <w:r>
        <w:rPr>
          <w:rFonts w:ascii="Arial" w:cs="Arial" w:eastAsia="Arial" w:hAnsi="Arial"/>
          <w:sz w:val="11"/>
          <w:szCs w:val="11"/>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487" w:right="33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i w:val="1"/>
          <w:iCs w:val="1"/>
          <w:color w:val="auto"/>
        </w:rPr>
        <w:t>Leases</w:t>
      </w:r>
    </w:p>
    <w:p>
      <w:pPr>
        <w:spacing w:after="0" w:line="78" w:lineRule="exact"/>
        <w:rPr>
          <w:sz w:val="20"/>
          <w:szCs w:val="20"/>
          <w:color w:val="auto"/>
        </w:rPr>
      </w:pPr>
    </w:p>
    <w:p>
      <w:pPr>
        <w:ind w:right="100" w:firstLine="592"/>
        <w:spacing w:after="0" w:line="256" w:lineRule="auto"/>
        <w:rPr>
          <w:sz w:val="20"/>
          <w:szCs w:val="20"/>
          <w:color w:val="auto"/>
        </w:rPr>
      </w:pPr>
      <w:r>
        <w:rPr>
          <w:rFonts w:ascii="Arial" w:cs="Arial" w:eastAsia="Arial" w:hAnsi="Arial"/>
          <w:sz w:val="12"/>
          <w:szCs w:val="12"/>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56"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Company does not separate lease components from non-lease components, such as common area maintenance charges, and instead accounts for the lease and non-lease components as a single component. The Company does not recognize lease assets and lease liabilities for leases with an original lease term of less than one year.</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Method Investment</w:t>
      </w:r>
    </w:p>
    <w:p>
      <w:pPr>
        <w:spacing w:after="0" w:line="78" w:lineRule="exact"/>
        <w:rPr>
          <w:sz w:val="20"/>
          <w:szCs w:val="20"/>
          <w:color w:val="auto"/>
        </w:rPr>
      </w:pPr>
    </w:p>
    <w:p>
      <w:pPr>
        <w:ind w:right="240" w:firstLine="592"/>
        <w:spacing w:after="0" w:line="379" w:lineRule="auto"/>
        <w:rPr>
          <w:sz w:val="20"/>
          <w:szCs w:val="20"/>
          <w:color w:val="auto"/>
        </w:rPr>
      </w:pPr>
      <w:r>
        <w:rPr>
          <w:rFonts w:ascii="Arial" w:cs="Arial" w:eastAsia="Arial" w:hAnsi="Arial"/>
          <w:sz w:val="10"/>
          <w:szCs w:val="10"/>
          <w:color w:val="auto"/>
        </w:rPr>
        <w:t>Equity method investments are equity securities in investees not controlled by the Company, but over which the Company has the ability to exercise significant influence. The Company’s measures equity method investments at fair value minus impairment, if any, plus or minus the Company’s share of equity method investee income or loss. The Company’s equity method investment in Capnia, Inc. was sold in September 2019. (See Note 9.)</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Long-Lived Assets</w:t>
      </w:r>
    </w:p>
    <w:p>
      <w:pPr>
        <w:spacing w:after="0" w:line="78" w:lineRule="exact"/>
        <w:rPr>
          <w:sz w:val="20"/>
          <w:szCs w:val="20"/>
          <w:color w:val="auto"/>
        </w:rPr>
      </w:pPr>
    </w:p>
    <w:p>
      <w:pPr>
        <w:jc w:val="both"/>
        <w:ind w:right="180" w:firstLine="592"/>
        <w:spacing w:after="0" w:line="263" w:lineRule="auto"/>
        <w:rPr>
          <w:sz w:val="20"/>
          <w:szCs w:val="20"/>
          <w:color w:val="auto"/>
        </w:rPr>
      </w:pPr>
      <w:r>
        <w:rPr>
          <w:rFonts w:ascii="Arial" w:cs="Arial" w:eastAsia="Arial" w:hAnsi="Arial"/>
          <w:sz w:val="12"/>
          <w:szCs w:val="12"/>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78" w:lineRule="exact"/>
        <w:rPr>
          <w:sz w:val="20"/>
          <w:szCs w:val="20"/>
          <w:color w:val="auto"/>
        </w:rPr>
      </w:pPr>
    </w:p>
    <w:p>
      <w:pPr>
        <w:ind w:right="220" w:firstLine="592"/>
        <w:spacing w:after="0" w:line="263" w:lineRule="auto"/>
        <w:rPr>
          <w:sz w:val="20"/>
          <w:szCs w:val="20"/>
          <w:color w:val="auto"/>
        </w:rPr>
      </w:pPr>
      <w:r>
        <w:rPr>
          <w:rFonts w:ascii="Arial" w:cs="Arial" w:eastAsia="Arial" w:hAnsi="Arial"/>
          <w:sz w:val="12"/>
          <w:szCs w:val="12"/>
          <w:color w:val="auto"/>
        </w:rPr>
        <w:t>In March 2017, the Company completed the acquisition of Essentialis in accordance with the merger agreement by and between the Company Soleno Therapeutics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spacing w:after="0" w:line="50" w:lineRule="exact"/>
        <w:rPr>
          <w:sz w:val="20"/>
          <w:szCs w:val="20"/>
          <w:color w:val="auto"/>
        </w:rPr>
      </w:pPr>
    </w:p>
    <w:p>
      <w:pPr>
        <w:ind w:right="80" w:firstLine="592"/>
        <w:spacing w:after="0" w:line="276" w:lineRule="auto"/>
        <w:rPr>
          <w:sz w:val="20"/>
          <w:szCs w:val="20"/>
          <w:color w:val="auto"/>
        </w:rPr>
      </w:pPr>
      <w:r>
        <w:rPr>
          <w:rFonts w:ascii="Arial" w:cs="Arial" w:eastAsia="Arial" w:hAnsi="Arial"/>
          <w:sz w:val="12"/>
          <w:szCs w:val="12"/>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right="100" w:firstLine="592"/>
        <w:spacing w:after="0" w:line="259" w:lineRule="auto"/>
        <w:rPr>
          <w:sz w:val="20"/>
          <w:szCs w:val="20"/>
          <w:color w:val="auto"/>
        </w:rPr>
      </w:pPr>
      <w:r>
        <w:rPr>
          <w:rFonts w:ascii="Arial" w:cs="Arial" w:eastAsia="Arial" w:hAnsi="Arial"/>
          <w:sz w:val="12"/>
          <w:szCs w:val="12"/>
          <w:color w:val="auto"/>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We accrue the costs of service rendered in connection with third-party contractor activities based on our estimate of fees and costs associate with the contract that were rendered during the period and they are expensed as incurred.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1"/>
          <w:szCs w:val="11"/>
          <w:color w:val="auto"/>
        </w:rPr>
        <w:t>Costs to acquire technologies to be used in research and development that have not reached technological feasibility and have no alternative future use are expensed to research and development costs when incurred.</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contingent consideration</w:t>
      </w:r>
    </w:p>
    <w:p>
      <w:pPr>
        <w:spacing w:after="0" w:line="78" w:lineRule="exact"/>
        <w:rPr>
          <w:sz w:val="20"/>
          <w:szCs w:val="20"/>
          <w:color w:val="auto"/>
        </w:rPr>
      </w:pPr>
    </w:p>
    <w:p>
      <w:pPr>
        <w:ind w:right="500" w:firstLine="592"/>
        <w:spacing w:after="0" w:line="276" w:lineRule="auto"/>
        <w:rPr>
          <w:sz w:val="20"/>
          <w:szCs w:val="20"/>
          <w:color w:val="auto"/>
        </w:rPr>
      </w:pPr>
      <w:r>
        <w:rPr>
          <w:rFonts w:ascii="Arial" w:cs="Arial" w:eastAsia="Arial" w:hAnsi="Arial"/>
          <w:sz w:val="12"/>
          <w:szCs w:val="12"/>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jc w:val="both"/>
        <w:ind w:right="180" w:firstLine="592"/>
        <w:spacing w:after="0" w:line="263" w:lineRule="auto"/>
        <w:rPr>
          <w:sz w:val="20"/>
          <w:szCs w:val="20"/>
          <w:color w:val="auto"/>
        </w:rPr>
      </w:pPr>
      <w:r>
        <w:rPr>
          <w:rFonts w:ascii="Arial" w:cs="Arial" w:eastAsia="Arial" w:hAnsi="Arial"/>
          <w:sz w:val="12"/>
          <w:szCs w:val="12"/>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22" w:lineRule="exact"/>
        <w:rPr>
          <w:sz w:val="20"/>
          <w:szCs w:val="20"/>
          <w:color w:val="auto"/>
        </w:rPr>
      </w:pPr>
    </w:p>
    <w:p>
      <w:pPr>
        <w:ind w:firstLine="592"/>
        <w:spacing w:after="0" w:line="326" w:lineRule="auto"/>
        <w:rPr>
          <w:sz w:val="20"/>
          <w:szCs w:val="20"/>
          <w:color w:val="auto"/>
        </w:rPr>
      </w:pPr>
      <w:r>
        <w:rPr>
          <w:rFonts w:ascii="Arial" w:cs="Arial" w:eastAsia="Arial" w:hAnsi="Arial"/>
          <w:sz w:val="10"/>
          <w:szCs w:val="10"/>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Purchase Warrants and Other Derivative Financial Instruments</w:t>
      </w:r>
    </w:p>
    <w:p>
      <w:pPr>
        <w:spacing w:after="0" w:line="78" w:lineRule="exact"/>
        <w:rPr>
          <w:sz w:val="20"/>
          <w:szCs w:val="20"/>
          <w:color w:val="auto"/>
        </w:rPr>
      </w:pPr>
    </w:p>
    <w:p>
      <w:pPr>
        <w:ind w:right="40" w:firstLine="592"/>
        <w:spacing w:after="0" w:line="283" w:lineRule="auto"/>
        <w:rPr>
          <w:sz w:val="20"/>
          <w:szCs w:val="20"/>
          <w:color w:val="auto"/>
        </w:rPr>
      </w:pPr>
      <w:r>
        <w:rPr>
          <w:rFonts w:ascii="Arial" w:cs="Arial" w:eastAsia="Arial" w:hAnsi="Arial"/>
          <w:sz w:val="11"/>
          <w:szCs w:val="11"/>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0"/>
          <w:szCs w:val="10"/>
          <w:color w:val="auto"/>
        </w:rPr>
        <w:t>Stock-based compensation costs related to stock options and restricted stock units granted to employees, nonemployees and directors are measured at the date of grant based on the estimated fair value of the award. For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12"/>
          <w:szCs w:val="12"/>
          <w:color w:val="auto"/>
        </w:rPr>
        <w:t>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of the award. Stock options generally vest over four years.</w:t>
      </w:r>
    </w:p>
    <w:p>
      <w:pPr>
        <w:spacing w:after="0" w:line="122" w:lineRule="exact"/>
        <w:rPr>
          <w:sz w:val="20"/>
          <w:szCs w:val="20"/>
          <w:color w:val="auto"/>
        </w:rPr>
      </w:pPr>
    </w:p>
    <w:p>
      <w:pPr>
        <w:ind w:right="200" w:firstLine="592"/>
        <w:spacing w:after="0" w:line="276" w:lineRule="auto"/>
        <w:rPr>
          <w:sz w:val="20"/>
          <w:szCs w:val="20"/>
          <w:color w:val="auto"/>
        </w:rPr>
      </w:pPr>
      <w:r>
        <w:rPr>
          <w:rFonts w:ascii="Arial" w:cs="Arial" w:eastAsia="Arial" w:hAnsi="Arial"/>
          <w:sz w:val="12"/>
          <w:szCs w:val="12"/>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43" w:lineRule="exact"/>
        <w:rPr>
          <w:sz w:val="20"/>
          <w:szCs w:val="20"/>
          <w:color w:val="auto"/>
        </w:rPr>
      </w:pPr>
    </w:p>
    <w:p>
      <w:pPr>
        <w:ind w:left="1020" w:hanging="443"/>
        <w:spacing w:after="0"/>
        <w:tabs>
          <w:tab w:leader="none" w:pos="10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The Company calculates the estimated volatility rate based the volatility of its common stock together with comparable companies in its industry.</w:t>
      </w:r>
    </w:p>
    <w:p>
      <w:pPr>
        <w:spacing w:after="0" w:line="96" w:lineRule="exact"/>
        <w:rPr>
          <w:rFonts w:ascii="Arial" w:cs="Arial" w:eastAsia="Arial" w:hAnsi="Arial"/>
          <w:sz w:val="12"/>
          <w:szCs w:val="12"/>
          <w:color w:val="auto"/>
        </w:rPr>
      </w:pPr>
    </w:p>
    <w:p>
      <w:pPr>
        <w:ind w:left="1020" w:right="100" w:hanging="443"/>
        <w:spacing w:after="0" w:line="276" w:lineRule="auto"/>
        <w:tabs>
          <w:tab w:leader="none" w:pos="10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The Company does not believe it is able to rely on its historical exercise and post-vesting termination activity to provide accurate data for estimating the expected term for use in estimating the fair</w:t>
      </w:r>
      <w:r>
        <w:rPr>
          <w:rFonts w:ascii="Arial" w:cs="Arial" w:eastAsia="Arial" w:hAnsi="Arial"/>
          <w:sz w:val="12"/>
          <w:szCs w:val="12"/>
          <w:i w:val="1"/>
          <w:iCs w:val="1"/>
          <w:color w:val="auto"/>
        </w:rPr>
        <w:t xml:space="preserve"> </w:t>
      </w:r>
      <w:r>
        <w:rPr>
          <w:rFonts w:ascii="Arial" w:cs="Arial" w:eastAsia="Arial" w:hAnsi="Arial"/>
          <w:sz w:val="12"/>
          <w:szCs w:val="12"/>
          <w:color w:val="auto"/>
        </w:rPr>
        <w:t>value-based measurement of our options. Therefore, the Company has opted to use the “simplified method” for estimating the expected term of options.</w:t>
      </w:r>
    </w:p>
    <w:p>
      <w:pPr>
        <w:spacing w:after="0" w:line="42" w:lineRule="exact"/>
        <w:rPr>
          <w:rFonts w:ascii="Arial" w:cs="Arial" w:eastAsia="Arial" w:hAnsi="Arial"/>
          <w:sz w:val="12"/>
          <w:szCs w:val="12"/>
          <w:color w:val="auto"/>
        </w:rPr>
      </w:pPr>
    </w:p>
    <w:p>
      <w:pPr>
        <w:ind w:left="1020" w:hanging="443"/>
        <w:spacing w:after="0"/>
        <w:tabs>
          <w:tab w:leader="none" w:pos="10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Risk-free rate: </w:t>
      </w:r>
      <w:r>
        <w:rPr>
          <w:rFonts w:ascii="Arial" w:cs="Arial" w:eastAsia="Arial" w:hAnsi="Arial"/>
          <w:sz w:val="12"/>
          <w:szCs w:val="12"/>
          <w:color w:val="auto"/>
        </w:rPr>
        <w:t>The risk-free interest rate is based on the yields of U.S. Treasury securities with maturities similar to the expected time to liquidity.</w:t>
      </w:r>
    </w:p>
    <w:p>
      <w:pPr>
        <w:spacing w:after="0" w:line="96" w:lineRule="exact"/>
        <w:rPr>
          <w:rFonts w:ascii="Arial" w:cs="Arial" w:eastAsia="Arial" w:hAnsi="Arial"/>
          <w:sz w:val="12"/>
          <w:szCs w:val="12"/>
          <w:color w:val="auto"/>
        </w:rPr>
      </w:pPr>
    </w:p>
    <w:p>
      <w:pPr>
        <w:ind w:left="1020" w:right="160" w:hanging="443"/>
        <w:spacing w:after="0" w:line="276" w:lineRule="auto"/>
        <w:tabs>
          <w:tab w:leader="none" w:pos="102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divided yield: </w:t>
      </w:r>
      <w:r>
        <w:rPr>
          <w:rFonts w:ascii="Arial" w:cs="Arial" w:eastAsia="Arial" w:hAnsi="Arial"/>
          <w:sz w:val="12"/>
          <w:szCs w:val="12"/>
          <w:color w:val="auto"/>
        </w:rPr>
        <w:t>The Company has never declared or paid any cash dividends and do not presently plan to pay cash dividends in the foreseeable future. Consequently, it used an expected dividend yield of</w:t>
      </w:r>
      <w:r>
        <w:rPr>
          <w:rFonts w:ascii="Arial" w:cs="Arial" w:eastAsia="Arial" w:hAnsi="Arial"/>
          <w:sz w:val="12"/>
          <w:szCs w:val="12"/>
          <w:i w:val="1"/>
          <w:iCs w:val="1"/>
          <w:color w:val="auto"/>
        </w:rPr>
        <w:t xml:space="preserve"> </w:t>
      </w:r>
      <w:r>
        <w:rPr>
          <w:rFonts w:ascii="Arial" w:cs="Arial" w:eastAsia="Arial" w:hAnsi="Arial"/>
          <w:sz w:val="12"/>
          <w:szCs w:val="12"/>
          <w:color w:val="auto"/>
        </w:rPr>
        <w:t>zero.</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accounts for forfeitures as they occur.</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Recent Accounting Standards</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54" w:lineRule="exact"/>
        <w:rPr>
          <w:sz w:val="20"/>
          <w:szCs w:val="20"/>
          <w:color w:val="auto"/>
        </w:rPr>
      </w:pPr>
    </w:p>
    <w:p>
      <w:pPr>
        <w:ind w:right="20" w:firstLine="592"/>
        <w:spacing w:after="0" w:line="263" w:lineRule="auto"/>
        <w:rPr>
          <w:sz w:val="20"/>
          <w:szCs w:val="20"/>
          <w:color w:val="auto"/>
        </w:rPr>
      </w:pPr>
      <w:r>
        <w:rPr>
          <w:rFonts w:ascii="Arial" w:cs="Arial" w:eastAsia="Arial" w:hAnsi="Arial"/>
          <w:sz w:val="12"/>
          <w:szCs w:val="12"/>
          <w:color w:val="auto"/>
        </w:rPr>
        <w:t>In August 2018, the Financial Accounting Standards Board (FASB) issued ASU 2018-13, “</w:t>
      </w:r>
      <w:r>
        <w:rPr>
          <w:rFonts w:ascii="Arial" w:cs="Arial" w:eastAsia="Arial" w:hAnsi="Arial"/>
          <w:sz w:val="12"/>
          <w:szCs w:val="12"/>
          <w:i w:val="1"/>
          <w:iCs w:val="1"/>
          <w:color w:val="auto"/>
        </w:rPr>
        <w:t>Fair Value Measurement (Topic 820): Disclosure Framework—Changes to the Disclosure Requirements for Fair Value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Measurement”. </w:t>
      </w:r>
      <w:r>
        <w:rPr>
          <w:rFonts w:ascii="Arial" w:cs="Arial" w:eastAsia="Arial" w:hAnsi="Arial"/>
          <w:sz w:val="12"/>
          <w:szCs w:val="12"/>
          <w:color w:val="auto"/>
        </w:rPr>
        <w:t>The ASU modifies the disclosure requirements for fair value measurements by removing, modifying, or adding certain disclosures. The Company adopted this ASU at the beginning of 2020. The adoption did not have a</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 impact on the Company’s consolidated financial statements disclosures.</w:t>
      </w:r>
    </w:p>
    <w:p>
      <w:pPr>
        <w:spacing w:after="0" w:line="122" w:lineRule="exact"/>
        <w:rPr>
          <w:sz w:val="20"/>
          <w:szCs w:val="20"/>
          <w:color w:val="auto"/>
        </w:rPr>
      </w:pPr>
    </w:p>
    <w:p>
      <w:pPr>
        <w:ind w:right="120" w:firstLine="592"/>
        <w:spacing w:after="0" w:line="259" w:lineRule="auto"/>
        <w:rPr>
          <w:sz w:val="20"/>
          <w:szCs w:val="20"/>
          <w:color w:val="auto"/>
        </w:rPr>
      </w:pPr>
      <w:r>
        <w:rPr>
          <w:rFonts w:ascii="Arial" w:cs="Arial" w:eastAsia="Arial" w:hAnsi="Arial"/>
          <w:sz w:val="12"/>
          <w:szCs w:val="12"/>
          <w:color w:val="auto"/>
        </w:rPr>
        <w:t>In October 2020, the FASB issued ASU 2020-10, “</w:t>
      </w:r>
      <w:r>
        <w:rPr>
          <w:rFonts w:ascii="Arial" w:cs="Arial" w:eastAsia="Arial" w:hAnsi="Arial"/>
          <w:sz w:val="12"/>
          <w:szCs w:val="12"/>
          <w:i w:val="1"/>
          <w:iCs w:val="1"/>
          <w:color w:val="auto"/>
        </w:rPr>
        <w:t>Codification Improvements”.</w:t>
      </w:r>
      <w:r>
        <w:rPr>
          <w:rFonts w:ascii="Arial" w:cs="Arial" w:eastAsia="Arial" w:hAnsi="Arial"/>
          <w:sz w:val="12"/>
          <w:szCs w:val="12"/>
          <w:color w:val="auto"/>
        </w:rPr>
        <w:t xml:space="preserve"> The amendments in this update remove references to various FASB Concepts Statements, situates all disclosure guidance in the appropriate disclosure section of the Codification, and makes other improvements and technical corrections to the Codification. The amendments in Sections B and C of this amendment are effective for annual periods beginning after December 15, 2020, for public business entities, with early adoption permitted. The Company adopted Sections B and C of this amendment during 2020 and the adoption of these sections of ASU 2020-10 has no significant impact on the Company’s consolidated financial statements and related disclosures.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Recently Issued Accounting Standards</w:t>
      </w:r>
    </w:p>
    <w:p>
      <w:pPr>
        <w:spacing w:after="0" w:line="82" w:lineRule="exact"/>
        <w:rPr>
          <w:sz w:val="20"/>
          <w:szCs w:val="20"/>
          <w:color w:val="auto"/>
        </w:rPr>
      </w:pPr>
    </w:p>
    <w:p>
      <w:pPr>
        <w:ind w:right="420" w:firstLine="592"/>
        <w:spacing w:after="0" w:line="276" w:lineRule="auto"/>
        <w:rPr>
          <w:sz w:val="20"/>
          <w:szCs w:val="20"/>
          <w:color w:val="auto"/>
        </w:rPr>
      </w:pPr>
      <w:r>
        <w:rPr>
          <w:rFonts w:ascii="Arial" w:cs="Arial" w:eastAsia="Arial" w:hAnsi="Arial"/>
          <w:sz w:val="12"/>
          <w:szCs w:val="12"/>
          <w:color w:val="auto"/>
        </w:rPr>
        <w:t>During the year ended December 31, 2020, there have been no new, or existing recently issued, accounting pronouncements that are of significance, or potential significance, that impact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Fair Value of Financial Instruments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carrying value of the Company’s cash, cash equivalents and accounts payable, approximate fair value due to the short-term nature of these items.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73" w:name="page74"/>
    <w:bookmarkEnd w:id="73"/>
    <w:p>
      <w:pPr>
        <w:ind w:firstLine="592"/>
        <w:spacing w:after="0" w:line="276" w:lineRule="auto"/>
        <w:rPr>
          <w:sz w:val="20"/>
          <w:szCs w:val="20"/>
          <w:color w:val="auto"/>
        </w:rPr>
      </w:pPr>
      <w:r>
        <w:rPr>
          <w:rFonts w:ascii="Arial" w:cs="Arial" w:eastAsia="Arial" w:hAnsi="Arial"/>
          <w:sz w:val="12"/>
          <w:szCs w:val="12"/>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fair value hierarchy defines a three-level valuation hierarchy for disclosure of fair value measurements as follows:</w:t>
      </w:r>
    </w:p>
    <w:p>
      <w:pPr>
        <w:spacing w:after="0" w:line="78" w:lineRule="exact"/>
        <w:rPr>
          <w:sz w:val="20"/>
          <w:szCs w:val="20"/>
          <w:color w:val="auto"/>
        </w:rPr>
      </w:pPr>
    </w:p>
    <w:p>
      <w:pPr>
        <w:ind w:left="1180" w:hanging="576"/>
        <w:spacing w:after="0"/>
        <w:tabs>
          <w:tab w:leader="none" w:pos="11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Level I — Unadjusted quoted prices in active markets for identical assets or liabilities;</w:t>
      </w:r>
    </w:p>
    <w:p>
      <w:pPr>
        <w:spacing w:after="0" w:line="96" w:lineRule="exact"/>
        <w:rPr>
          <w:rFonts w:ascii="Arial" w:cs="Arial" w:eastAsia="Arial" w:hAnsi="Arial"/>
          <w:sz w:val="12"/>
          <w:szCs w:val="12"/>
          <w:color w:val="auto"/>
        </w:rPr>
      </w:pPr>
    </w:p>
    <w:p>
      <w:pPr>
        <w:ind w:left="1180" w:right="320" w:hanging="576"/>
        <w:spacing w:after="0" w:line="276" w:lineRule="auto"/>
        <w:tabs>
          <w:tab w:leader="none" w:pos="11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42" w:lineRule="exact"/>
        <w:rPr>
          <w:rFonts w:ascii="Arial" w:cs="Arial" w:eastAsia="Arial" w:hAnsi="Arial"/>
          <w:sz w:val="12"/>
          <w:szCs w:val="12"/>
          <w:color w:val="auto"/>
        </w:rPr>
      </w:pPr>
    </w:p>
    <w:p>
      <w:pPr>
        <w:ind w:left="1180" w:hanging="576"/>
        <w:spacing w:after="0"/>
        <w:tabs>
          <w:tab w:leader="none" w:pos="11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Level III — Unobservable inputs that are supported by little or no market activity for the related assets or liabilities.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categorization of a financial instrument within the valuation hierarchy is based upon the lowest level of input that is significant to the fair value measurement.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 sets forth the Company’s financial instruments that were measured at fair value on a recurring basis by level within the fair value hierarchy (in thousands).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3"/>
              </w:rPr>
              <w:t>Fair Value Measurements at December 31, 2020</w:t>
            </w: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2018 PIPE warrant liability</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539</w:t>
            </w:r>
          </w:p>
        </w:tc>
        <w:tc>
          <w:tcPr>
            <w:tcW w:w="22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539</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Essentialis purchase price contingency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10,278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10,278</w:t>
            </w:r>
          </w:p>
        </w:tc>
        <w:tc>
          <w:tcPr>
            <w:tcW w:w="100" w:type="dxa"/>
            <w:vAlign w:val="bottom"/>
            <w:shd w:val="clear" w:color="auto" w:fill="CFF0FC"/>
          </w:tcPr>
          <w:p>
            <w:pPr>
              <w:spacing w:after="0"/>
              <w:rPr>
                <w:sz w:val="13"/>
                <w:szCs w:val="13"/>
                <w:color w:val="auto"/>
              </w:rPr>
            </w:pPr>
          </w:p>
        </w:tc>
      </w:tr>
      <w:tr>
        <w:trPr>
          <w:trHeight w:val="133"/>
        </w:trPr>
        <w:tc>
          <w:tcPr>
            <w:tcW w:w="5280" w:type="dxa"/>
            <w:vAlign w:val="bottom"/>
          </w:tcPr>
          <w:p>
            <w:pPr>
              <w:ind w:left="160"/>
              <w:spacing w:after="0" w:line="133" w:lineRule="exact"/>
              <w:rPr>
                <w:sz w:val="20"/>
                <w:szCs w:val="20"/>
                <w:color w:val="auto"/>
              </w:rPr>
            </w:pPr>
            <w:r>
              <w:rPr>
                <w:rFonts w:ascii="Arial" w:cs="Arial" w:eastAsia="Arial" w:hAnsi="Arial"/>
                <w:sz w:val="12"/>
                <w:szCs w:val="12"/>
                <w:color w:val="auto"/>
              </w:rPr>
              <w:t>Total common stock warrant and contingent</w:t>
            </w:r>
          </w:p>
        </w:tc>
        <w:tc>
          <w:tcPr>
            <w:tcW w:w="6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280" w:type="dxa"/>
            <w:vAlign w:val="bottom"/>
          </w:tcPr>
          <w:p>
            <w:pPr>
              <w:ind w:left="260"/>
              <w:spacing w:after="0"/>
              <w:rPr>
                <w:sz w:val="20"/>
                <w:szCs w:val="20"/>
                <w:color w:val="auto"/>
              </w:rPr>
            </w:pPr>
            <w:r>
              <w:rPr>
                <w:rFonts w:ascii="Arial" w:cs="Arial" w:eastAsia="Arial" w:hAnsi="Arial"/>
                <w:sz w:val="12"/>
                <w:szCs w:val="12"/>
                <w:color w:val="auto"/>
              </w:rPr>
              <w:t>consideration liability</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10,817</w:t>
            </w:r>
          </w:p>
        </w:tc>
        <w:tc>
          <w:tcPr>
            <w:tcW w:w="22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tcPr>
          <w:p>
            <w:pPr>
              <w:spacing w:after="0"/>
              <w:rPr>
                <w:sz w:val="13"/>
                <w:szCs w:val="13"/>
                <w:color w:val="auto"/>
              </w:rPr>
            </w:pPr>
          </w:p>
        </w:tc>
      </w:tr>
      <w:tr>
        <w:trPr>
          <w:trHeight w:val="27"/>
        </w:trPr>
        <w:tc>
          <w:tcPr>
            <w:tcW w:w="5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15"/>
        </w:trPr>
        <w:tc>
          <w:tcPr>
            <w:tcW w:w="5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3"/>
              </w:rPr>
              <w:t>Fair Value Measurements at December 31, 2019</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2017 PIPE warrant liability</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10,822</w:t>
            </w:r>
          </w:p>
        </w:tc>
        <w:tc>
          <w:tcPr>
            <w:tcW w:w="22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10,822</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2018 PIPE warrant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100" w:type="dxa"/>
            <w:vAlign w:val="bottom"/>
            <w:shd w:val="clear" w:color="auto" w:fill="CFF0FC"/>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Essentialis purchase price contingency liability</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5,938</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5,938</w:t>
            </w:r>
          </w:p>
        </w:tc>
        <w:tc>
          <w:tcPr>
            <w:tcW w:w="100" w:type="dxa"/>
            <w:vAlign w:val="bottom"/>
          </w:tcPr>
          <w:p>
            <w:pPr>
              <w:spacing w:after="0"/>
              <w:rPr>
                <w:sz w:val="13"/>
                <w:szCs w:val="13"/>
                <w:color w:val="auto"/>
              </w:rPr>
            </w:pPr>
          </w:p>
        </w:tc>
      </w:tr>
      <w:tr>
        <w:trPr>
          <w:trHeight w:val="133"/>
        </w:trPr>
        <w:tc>
          <w:tcPr>
            <w:tcW w:w="5280" w:type="dxa"/>
            <w:vAlign w:val="bottom"/>
            <w:tcBorders>
              <w:top w:val="single" w:sz="8" w:color="CFF0FC"/>
            </w:tcBorders>
            <w:shd w:val="clear" w:color="auto" w:fill="CFF0FC"/>
          </w:tcPr>
          <w:p>
            <w:pPr>
              <w:ind w:left="160"/>
              <w:spacing w:after="0" w:line="133" w:lineRule="exact"/>
              <w:rPr>
                <w:sz w:val="20"/>
                <w:szCs w:val="20"/>
                <w:color w:val="auto"/>
              </w:rPr>
            </w:pPr>
            <w:r>
              <w:rPr>
                <w:rFonts w:ascii="Arial" w:cs="Arial" w:eastAsia="Arial" w:hAnsi="Arial"/>
                <w:sz w:val="12"/>
                <w:szCs w:val="12"/>
                <w:color w:val="auto"/>
              </w:rPr>
              <w:t>Total common stock warrant and contingent</w:t>
            </w: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3"/>
        </w:trPr>
        <w:tc>
          <w:tcPr>
            <w:tcW w:w="52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consideration liability</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18,114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18,114</w:t>
            </w:r>
          </w:p>
        </w:tc>
        <w:tc>
          <w:tcPr>
            <w:tcW w:w="100" w:type="dxa"/>
            <w:vAlign w:val="bottom"/>
            <w:shd w:val="clear" w:color="auto" w:fill="CFF0FC"/>
          </w:tcPr>
          <w:p>
            <w:pPr>
              <w:spacing w:after="0"/>
              <w:rPr>
                <w:sz w:val="13"/>
                <w:szCs w:val="13"/>
                <w:color w:val="auto"/>
              </w:rPr>
            </w:pPr>
          </w:p>
        </w:tc>
      </w:tr>
      <w:tr>
        <w:trPr>
          <w:trHeight w:val="27"/>
        </w:trPr>
        <w:tc>
          <w:tcPr>
            <w:tcW w:w="52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62" w:lineRule="exact"/>
        <w:rPr>
          <w:sz w:val="20"/>
          <w:szCs w:val="20"/>
          <w:color w:val="auto"/>
        </w:rPr>
      </w:pPr>
    </w:p>
    <w:p>
      <w:pPr>
        <w:ind w:right="40" w:firstLine="671"/>
        <w:spacing w:after="0" w:line="259" w:lineRule="auto"/>
        <w:rPr>
          <w:sz w:val="20"/>
          <w:szCs w:val="20"/>
          <w:color w:val="auto"/>
        </w:rPr>
      </w:pPr>
      <w:r>
        <w:rPr>
          <w:rFonts w:ascii="Arial" w:cs="Arial" w:eastAsia="Arial" w:hAnsi="Arial"/>
          <w:sz w:val="12"/>
          <w:szCs w:val="12"/>
          <w:color w:val="auto"/>
        </w:rPr>
        <w:t>The Company’s estimated fair value of the 2018 PIPE Warrants was calculated as of December 31, 2020 using a Black-Scholes pricing model. The Black-Scholes pricing model requires the input of highly subjective assumptions including the expected stock price volatility, the expected term, the expected dividend yield and the risk-free interest rate. The Company used the Monte Carlo simulation of a geometric Brownian motion model to estimate the fair value of the 2017 PIPE Warrants and the 2018 PIPE Warrant as of December 31, 2019 as this model allows for determining path-dependent outcomes. The difference in valuation as a result of using the Black-Scholes pricing model compared to the Monte Carlo simulation model is not significant.</w:t>
      </w:r>
    </w:p>
    <w:p>
      <w:pPr>
        <w:spacing w:after="0" w:line="169" w:lineRule="exact"/>
        <w:rPr>
          <w:sz w:val="20"/>
          <w:szCs w:val="20"/>
          <w:color w:val="auto"/>
        </w:rPr>
      </w:pPr>
    </w:p>
    <w:p>
      <w:pPr>
        <w:ind w:right="120" w:firstLine="671"/>
        <w:spacing w:after="0" w:line="263" w:lineRule="auto"/>
        <w:rPr>
          <w:sz w:val="20"/>
          <w:szCs w:val="20"/>
          <w:color w:val="auto"/>
        </w:rPr>
      </w:pPr>
      <w:r>
        <w:rPr>
          <w:rFonts w:ascii="Arial" w:cs="Arial" w:eastAsia="Arial" w:hAnsi="Arial"/>
          <w:sz w:val="12"/>
          <w:szCs w:val="12"/>
          <w:color w:val="auto"/>
        </w:rPr>
        <w:t>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During the periods presented, the Company has not changed the manner in which it values its Essentialis purchase price contingent liability.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74" w:name="page75"/>
    <w:bookmarkEnd w:id="74"/>
    <w:p>
      <w:pPr>
        <w:ind w:left="580"/>
        <w:spacing w:after="0"/>
        <w:rPr>
          <w:sz w:val="20"/>
          <w:szCs w:val="20"/>
          <w:color w:val="auto"/>
        </w:rPr>
      </w:pPr>
      <w:r>
        <w:rPr>
          <w:rFonts w:ascii="Arial" w:cs="Arial" w:eastAsia="Arial" w:hAnsi="Arial"/>
          <w:sz w:val="12"/>
          <w:szCs w:val="12"/>
          <w:color w:val="auto"/>
        </w:rPr>
        <w:t>The Company recognizes transfers between levels of the fair value hierarchy as of the end of the reporting period. There were no transfers within the hierarchy during the periods presented.</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 sets forth a summary of the changes in the fair value of the Company’s Level 3 liabilities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Series A Warrants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Arial" w:cs="Arial" w:eastAsia="Arial" w:hAnsi="Arial"/>
                <w:sz w:val="10"/>
                <w:szCs w:val="10"/>
                <w:b w:val="1"/>
                <w:bCs w:val="1"/>
                <w:color w:val="auto"/>
              </w:rPr>
              <w:t>Series C Warrants</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2017 PIPE Warrants</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2018 PIPE Warrants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Purchase Price</w:t>
            </w:r>
          </w:p>
        </w:tc>
        <w:tc>
          <w:tcPr>
            <w:tcW w:w="20" w:type="dxa"/>
            <w:vAlign w:val="bottom"/>
          </w:tcPr>
          <w:p>
            <w:pPr>
              <w:spacing w:after="0"/>
              <w:rPr>
                <w:sz w:val="10"/>
                <w:szCs w:val="10"/>
                <w:color w:val="auto"/>
              </w:rPr>
            </w:pPr>
          </w:p>
        </w:tc>
      </w:tr>
      <w:tr>
        <w:trPr>
          <w:trHeight w:val="92"/>
        </w:trPr>
        <w:tc>
          <w:tcPr>
            <w:tcW w:w="1600" w:type="dxa"/>
            <w:vAlign w:val="bottom"/>
          </w:tcPr>
          <w:p>
            <w:pPr>
              <w:spacing w:after="0"/>
              <w:rPr>
                <w:sz w:val="7"/>
                <w:szCs w:val="7"/>
                <w:color w:val="auto"/>
              </w:rPr>
            </w:pPr>
          </w:p>
        </w:tc>
        <w:tc>
          <w:tcPr>
            <w:tcW w:w="1100" w:type="dxa"/>
            <w:vAlign w:val="bottom"/>
            <w:tcBorders>
              <w:top w:val="single" w:sz="8" w:color="auto"/>
            </w:tcBorders>
            <w:gridSpan w:val="2"/>
          </w:tcPr>
          <w:p>
            <w:pPr>
              <w:jc w:val="right"/>
              <w:ind w:right="440"/>
              <w:spacing w:after="0" w:line="92" w:lineRule="exact"/>
              <w:rPr>
                <w:sz w:val="20"/>
                <w:szCs w:val="20"/>
                <w:color w:val="auto"/>
              </w:rPr>
            </w:pPr>
            <w:r>
              <w:rPr>
                <w:rFonts w:ascii="Arial" w:cs="Arial" w:eastAsia="Arial" w:hAnsi="Arial"/>
                <w:sz w:val="10"/>
                <w:szCs w:val="10"/>
                <w:b w:val="1"/>
                <w:bCs w:val="1"/>
                <w:color w:val="auto"/>
              </w:rPr>
              <w:t>Number of</w:t>
            </w: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Borders>
              <w:top w:val="single" w:sz="8" w:color="auto"/>
            </w:tcBorders>
            <w:gridSpan w:val="2"/>
          </w:tcPr>
          <w:p>
            <w:pPr>
              <w:jc w:val="right"/>
              <w:ind w:right="440"/>
              <w:spacing w:after="0" w:line="92" w:lineRule="exact"/>
              <w:rPr>
                <w:sz w:val="20"/>
                <w:szCs w:val="20"/>
                <w:color w:val="auto"/>
              </w:rPr>
            </w:pPr>
            <w:r>
              <w:rPr>
                <w:rFonts w:ascii="Arial" w:cs="Arial" w:eastAsia="Arial" w:hAnsi="Arial"/>
                <w:sz w:val="10"/>
                <w:szCs w:val="10"/>
                <w:b w:val="1"/>
                <w:bCs w:val="1"/>
                <w:color w:val="auto"/>
              </w:rPr>
              <w:t>Number of</w:t>
            </w:r>
          </w:p>
        </w:tc>
        <w:tc>
          <w:tcPr>
            <w:tcW w:w="2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Borders>
              <w:top w:val="single" w:sz="8" w:color="auto"/>
            </w:tcBorders>
            <w:gridSpan w:val="2"/>
          </w:tcPr>
          <w:p>
            <w:pPr>
              <w:jc w:val="right"/>
              <w:ind w:right="440"/>
              <w:spacing w:after="0" w:line="92" w:lineRule="exact"/>
              <w:rPr>
                <w:sz w:val="20"/>
                <w:szCs w:val="20"/>
                <w:color w:val="auto"/>
              </w:rPr>
            </w:pPr>
            <w:r>
              <w:rPr>
                <w:rFonts w:ascii="Arial" w:cs="Arial" w:eastAsia="Arial" w:hAnsi="Arial"/>
                <w:sz w:val="10"/>
                <w:szCs w:val="10"/>
                <w:b w:val="1"/>
                <w:bCs w:val="1"/>
                <w:color w:val="auto"/>
              </w:rPr>
              <w:t>Number of</w:t>
            </w:r>
          </w:p>
        </w:tc>
        <w:tc>
          <w:tcPr>
            <w:tcW w:w="1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Borders>
              <w:top w:val="single" w:sz="8" w:color="auto"/>
            </w:tcBorders>
            <w:gridSpan w:val="2"/>
          </w:tcPr>
          <w:p>
            <w:pPr>
              <w:ind w:left="280"/>
              <w:spacing w:after="0" w:line="92" w:lineRule="exact"/>
              <w:rPr>
                <w:sz w:val="20"/>
                <w:szCs w:val="20"/>
                <w:color w:val="auto"/>
              </w:rPr>
            </w:pPr>
            <w:r>
              <w:rPr>
                <w:rFonts w:ascii="Arial" w:cs="Arial" w:eastAsia="Arial" w:hAnsi="Arial"/>
                <w:sz w:val="10"/>
                <w:szCs w:val="10"/>
                <w:b w:val="1"/>
                <w:bCs w:val="1"/>
                <w:color w:val="auto"/>
              </w:rPr>
              <w:t>Number of</w:t>
            </w: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102"/>
              <w:spacing w:after="0" w:line="92" w:lineRule="exact"/>
              <w:rPr>
                <w:sz w:val="20"/>
                <w:szCs w:val="20"/>
                <w:color w:val="auto"/>
              </w:rPr>
            </w:pPr>
            <w:r>
              <w:rPr>
                <w:rFonts w:ascii="Arial" w:cs="Arial" w:eastAsia="Arial" w:hAnsi="Arial"/>
                <w:sz w:val="10"/>
                <w:szCs w:val="10"/>
                <w:b w:val="1"/>
                <w:bCs w:val="1"/>
                <w:color w:val="auto"/>
                <w:w w:val="83"/>
              </w:rPr>
              <w:t>Contingent</w:t>
            </w:r>
          </w:p>
        </w:tc>
        <w:tc>
          <w:tcPr>
            <w:tcW w:w="20" w:type="dxa"/>
            <w:vAlign w:val="bottom"/>
          </w:tcPr>
          <w:p>
            <w:pPr>
              <w:spacing w:after="0"/>
              <w:rPr>
                <w:sz w:val="7"/>
                <w:szCs w:val="7"/>
                <w:color w:val="auto"/>
              </w:rPr>
            </w:pPr>
          </w:p>
        </w:tc>
      </w:tr>
      <w:tr>
        <w:trPr>
          <w:trHeight w:val="113"/>
        </w:trPr>
        <w:tc>
          <w:tcPr>
            <w:tcW w:w="16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83"/>
              <w:spacing w:after="0" w:line="114" w:lineRule="exact"/>
              <w:rPr>
                <w:sz w:val="20"/>
                <w:szCs w:val="20"/>
                <w:color w:val="auto"/>
              </w:rPr>
            </w:pPr>
            <w:r>
              <w:rPr>
                <w:rFonts w:ascii="Arial" w:cs="Arial" w:eastAsia="Arial" w:hAnsi="Arial"/>
                <w:sz w:val="10"/>
                <w:szCs w:val="10"/>
                <w:b w:val="1"/>
                <w:bCs w:val="1"/>
                <w:color w:val="auto"/>
              </w:rPr>
              <w:t>Warrants</w:t>
            </w:r>
          </w:p>
        </w:tc>
        <w:tc>
          <w:tcPr>
            <w:tcW w:w="22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w w:val="89"/>
              </w:rPr>
              <w:t>Liability</w:t>
            </w:r>
          </w:p>
        </w:tc>
        <w:tc>
          <w:tcPr>
            <w:tcW w:w="20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203"/>
              <w:spacing w:after="0" w:line="114" w:lineRule="exact"/>
              <w:rPr>
                <w:sz w:val="20"/>
                <w:szCs w:val="20"/>
                <w:color w:val="auto"/>
              </w:rPr>
            </w:pPr>
            <w:r>
              <w:rPr>
                <w:rFonts w:ascii="Arial" w:cs="Arial" w:eastAsia="Arial" w:hAnsi="Arial"/>
                <w:sz w:val="10"/>
                <w:szCs w:val="10"/>
                <w:b w:val="1"/>
                <w:bCs w:val="1"/>
                <w:color w:val="auto"/>
              </w:rPr>
              <w:t>Warrants</w:t>
            </w:r>
          </w:p>
        </w:tc>
        <w:tc>
          <w:tcPr>
            <w:tcW w:w="22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Liability</w:t>
            </w: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203"/>
              <w:spacing w:after="0" w:line="114" w:lineRule="exact"/>
              <w:rPr>
                <w:sz w:val="20"/>
                <w:szCs w:val="20"/>
                <w:color w:val="auto"/>
              </w:rPr>
            </w:pPr>
            <w:r>
              <w:rPr>
                <w:rFonts w:ascii="Arial" w:cs="Arial" w:eastAsia="Arial" w:hAnsi="Arial"/>
                <w:sz w:val="10"/>
                <w:szCs w:val="10"/>
                <w:b w:val="1"/>
                <w:bCs w:val="1"/>
                <w:color w:val="auto"/>
              </w:rPr>
              <w:t>Warrants</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rPr>
              <w:t>Liability</w:t>
            </w:r>
          </w:p>
        </w:tc>
        <w:tc>
          <w:tcPr>
            <w:tcW w:w="22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283"/>
              <w:spacing w:after="0" w:line="114" w:lineRule="exact"/>
              <w:rPr>
                <w:sz w:val="20"/>
                <w:szCs w:val="20"/>
                <w:color w:val="auto"/>
              </w:rPr>
            </w:pPr>
            <w:r>
              <w:rPr>
                <w:rFonts w:ascii="Arial" w:cs="Arial" w:eastAsia="Arial" w:hAnsi="Arial"/>
                <w:sz w:val="10"/>
                <w:szCs w:val="10"/>
                <w:b w:val="1"/>
                <w:bCs w:val="1"/>
                <w:color w:val="auto"/>
              </w:rPr>
              <w:t>Warrants</w:t>
            </w:r>
          </w:p>
        </w:tc>
        <w:tc>
          <w:tcPr>
            <w:tcW w:w="20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1"/>
              <w:spacing w:after="0" w:line="114" w:lineRule="exact"/>
              <w:rPr>
                <w:sz w:val="20"/>
                <w:szCs w:val="20"/>
                <w:color w:val="auto"/>
              </w:rPr>
            </w:pPr>
            <w:r>
              <w:rPr>
                <w:rFonts w:ascii="Arial" w:cs="Arial" w:eastAsia="Arial" w:hAnsi="Arial"/>
                <w:sz w:val="10"/>
                <w:szCs w:val="10"/>
                <w:b w:val="1"/>
                <w:bCs w:val="1"/>
                <w:color w:val="auto"/>
                <w:w w:val="89"/>
              </w:rPr>
              <w:t>Liability</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42"/>
              <w:spacing w:after="0" w:line="114" w:lineRule="exact"/>
              <w:rPr>
                <w:sz w:val="20"/>
                <w:szCs w:val="20"/>
                <w:color w:val="auto"/>
              </w:rPr>
            </w:pPr>
            <w:r>
              <w:rPr>
                <w:rFonts w:ascii="Arial" w:cs="Arial" w:eastAsia="Arial" w:hAnsi="Arial"/>
                <w:sz w:val="10"/>
                <w:szCs w:val="10"/>
                <w:b w:val="1"/>
                <w:bCs w:val="1"/>
                <w:color w:val="auto"/>
              </w:rPr>
              <w:t>Liability</w:t>
            </w:r>
          </w:p>
        </w:tc>
        <w:tc>
          <w:tcPr>
            <w:tcW w:w="20" w:type="dxa"/>
            <w:vAlign w:val="bottom"/>
          </w:tcPr>
          <w:p>
            <w:pPr>
              <w:spacing w:after="0"/>
              <w:rPr>
                <w:sz w:val="9"/>
                <w:szCs w:val="9"/>
                <w:color w:val="auto"/>
              </w:rPr>
            </w:pPr>
          </w:p>
        </w:tc>
      </w:tr>
      <w:tr>
        <w:trPr>
          <w:trHeight w:val="142"/>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Balance at January 1, 2019</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485,121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118,083</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6,024,425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4,563</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5,649</w:t>
            </w:r>
          </w:p>
        </w:tc>
        <w:tc>
          <w:tcPr>
            <w:tcW w:w="20" w:type="dxa"/>
            <w:vAlign w:val="bottom"/>
          </w:tcPr>
          <w:p>
            <w:pPr>
              <w:spacing w:after="0"/>
              <w:rPr>
                <w:sz w:val="12"/>
                <w:szCs w:val="12"/>
                <w:color w:val="auto"/>
              </w:rPr>
            </w:pPr>
          </w:p>
        </w:tc>
      </w:tr>
      <w:tr>
        <w:trPr>
          <w:trHeight w:val="144"/>
        </w:trPr>
        <w:tc>
          <w:tcPr>
            <w:tcW w:w="1600" w:type="dxa"/>
            <w:vAlign w:val="bottom"/>
          </w:tcPr>
          <w:p>
            <w:pPr>
              <w:spacing w:after="0"/>
              <w:rPr>
                <w:sz w:val="20"/>
                <w:szCs w:val="20"/>
                <w:color w:val="auto"/>
              </w:rPr>
            </w:pPr>
            <w:r>
              <w:rPr>
                <w:rFonts w:ascii="Arial" w:cs="Arial" w:eastAsia="Arial" w:hAnsi="Arial"/>
                <w:sz w:val="12"/>
                <w:szCs w:val="12"/>
                <w:color w:val="auto"/>
              </w:rPr>
              <w:t>Expiration of Series A</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(485,121)</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(49)</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w w:val="98"/>
              </w:rPr>
              <w:t>Change in value of 2017 PIPE</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6,259</w:t>
            </w: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tcPr>
          <w:p>
            <w:pPr>
              <w:spacing w:after="0"/>
              <w:rPr>
                <w:sz w:val="20"/>
                <w:szCs w:val="20"/>
                <w:color w:val="auto"/>
              </w:rPr>
            </w:pPr>
            <w:r>
              <w:rPr>
                <w:rFonts w:ascii="Arial" w:cs="Arial" w:eastAsia="Arial" w:hAnsi="Arial"/>
                <w:sz w:val="12"/>
                <w:szCs w:val="12"/>
                <w:color w:val="auto"/>
                <w:w w:val="98"/>
              </w:rPr>
              <w:t>Change in value of 2018 PIPE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w w:val="99"/>
              </w:rPr>
              <w:t>Change in value of contingent</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liability</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289</w:t>
            </w: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20"/>
                <w:szCs w:val="20"/>
                <w:color w:val="auto"/>
              </w:rPr>
            </w:pPr>
            <w:r>
              <w:rPr>
                <w:rFonts w:ascii="Arial" w:cs="Arial" w:eastAsia="Arial" w:hAnsi="Arial"/>
                <w:sz w:val="12"/>
                <w:szCs w:val="12"/>
                <w:color w:val="auto"/>
                <w:w w:val="95"/>
              </w:rPr>
              <w:t>Balance at December 31, 2019</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118,083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6,024,425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10,822</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5,938</w:t>
            </w:r>
          </w:p>
        </w:tc>
        <w:tc>
          <w:tcPr>
            <w:tcW w:w="20" w:type="dxa"/>
            <w:vAlign w:val="bottom"/>
          </w:tcPr>
          <w:p>
            <w:pPr>
              <w:spacing w:after="0"/>
              <w:rPr>
                <w:sz w:val="12"/>
                <w:szCs w:val="12"/>
                <w:color w:val="auto"/>
              </w:rPr>
            </w:pPr>
          </w:p>
        </w:tc>
      </w:tr>
      <w:tr>
        <w:trPr>
          <w:trHeight w:val="14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Expiration of Series C</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(118,083)</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tcPr>
          <w:p>
            <w:pPr>
              <w:spacing w:after="0"/>
              <w:rPr>
                <w:sz w:val="20"/>
                <w:szCs w:val="20"/>
                <w:color w:val="auto"/>
              </w:rPr>
            </w:pPr>
            <w:r>
              <w:rPr>
                <w:rFonts w:ascii="Arial" w:cs="Arial" w:eastAsia="Arial" w:hAnsi="Arial"/>
                <w:sz w:val="12"/>
                <w:szCs w:val="12"/>
                <w:color w:val="auto"/>
              </w:rPr>
              <w:t>Expiration of 2017 PIPE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(6,024,425)</w:t>
            </w:r>
          </w:p>
        </w:tc>
        <w:tc>
          <w:tcPr>
            <w:tcW w:w="1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(10,822)</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w w:val="98"/>
              </w:rPr>
              <w:t>Change in value of 2018 PIPE</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rPr>
              <w:t>Warrants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(815)</w:t>
            </w: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44"/>
        </w:trPr>
        <w:tc>
          <w:tcPr>
            <w:tcW w:w="1600" w:type="dxa"/>
            <w:vAlign w:val="bottom"/>
          </w:tcPr>
          <w:p>
            <w:pPr>
              <w:spacing w:after="0"/>
              <w:rPr>
                <w:sz w:val="20"/>
                <w:szCs w:val="20"/>
                <w:color w:val="auto"/>
              </w:rPr>
            </w:pPr>
            <w:r>
              <w:rPr>
                <w:rFonts w:ascii="Arial" w:cs="Arial" w:eastAsia="Arial" w:hAnsi="Arial"/>
                <w:sz w:val="12"/>
                <w:szCs w:val="12"/>
                <w:color w:val="auto"/>
                <w:w w:val="99"/>
              </w:rPr>
              <w:t>Change in value of contingent</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16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liability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4,340</w:t>
            </w:r>
          </w:p>
        </w:tc>
        <w:tc>
          <w:tcPr>
            <w:tcW w:w="20" w:type="dxa"/>
            <w:vAlign w:val="bottom"/>
          </w:tcPr>
          <w:p>
            <w:pPr>
              <w:spacing w:after="0"/>
              <w:rPr>
                <w:sz w:val="13"/>
                <w:szCs w:val="13"/>
                <w:color w:val="auto"/>
              </w:rPr>
            </w:pPr>
          </w:p>
        </w:tc>
      </w:tr>
      <w:tr>
        <w:trPr>
          <w:trHeight w:val="149"/>
        </w:trPr>
        <w:tc>
          <w:tcPr>
            <w:tcW w:w="1600" w:type="dxa"/>
            <w:vAlign w:val="bottom"/>
            <w:shd w:val="clear" w:color="auto" w:fill="CFF0FC"/>
          </w:tcPr>
          <w:p>
            <w:pPr>
              <w:spacing w:after="0"/>
              <w:rPr>
                <w:sz w:val="20"/>
                <w:szCs w:val="20"/>
                <w:color w:val="auto"/>
              </w:rPr>
            </w:pPr>
            <w:r>
              <w:rPr>
                <w:rFonts w:ascii="Arial" w:cs="Arial" w:eastAsia="Arial" w:hAnsi="Arial"/>
                <w:sz w:val="12"/>
                <w:szCs w:val="12"/>
                <w:color w:val="auto"/>
                <w:w w:val="95"/>
              </w:rPr>
              <w:t>Balance at December 31, 2020</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10,278</w:t>
            </w:r>
          </w:p>
        </w:tc>
        <w:tc>
          <w:tcPr>
            <w:tcW w:w="20" w:type="dxa"/>
            <w:vAlign w:val="bottom"/>
          </w:tcPr>
          <w:p>
            <w:pPr>
              <w:spacing w:after="0"/>
              <w:rPr>
                <w:sz w:val="12"/>
                <w:szCs w:val="12"/>
                <w:color w:val="auto"/>
              </w:rPr>
            </w:pPr>
          </w:p>
        </w:tc>
      </w:tr>
      <w:tr>
        <w:trPr>
          <w:trHeight w:val="432"/>
        </w:trPr>
        <w:tc>
          <w:tcPr>
            <w:tcW w:w="16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ind w:left="400"/>
              <w:spacing w:after="0"/>
              <w:rPr>
                <w:sz w:val="20"/>
                <w:szCs w:val="20"/>
                <w:color w:val="auto"/>
              </w:rPr>
            </w:pPr>
            <w:r>
              <w:rPr>
                <w:rFonts w:ascii="Arial" w:cs="Arial" w:eastAsia="Arial" w:hAnsi="Arial"/>
                <w:sz w:val="12"/>
                <w:szCs w:val="12"/>
                <w:color w:val="auto"/>
              </w:rPr>
              <w:t>73</w:t>
            </w:r>
          </w:p>
        </w:tc>
        <w:tc>
          <w:tcPr>
            <w:tcW w:w="2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6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9" w:right="27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color w:val="auto"/>
        </w:rPr>
        <w:t>Note 5. Other Financial Statement Details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Property and equipment are summarized in the following table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tcPr>
          <w:p>
            <w:pPr>
              <w:jc w:val="center"/>
              <w:ind w:right="320"/>
              <w:spacing w:after="0"/>
              <w:rPr>
                <w:sz w:val="20"/>
                <w:szCs w:val="20"/>
                <w:color w:val="auto"/>
              </w:rPr>
            </w:pPr>
            <w:r>
              <w:rPr>
                <w:rFonts w:ascii="Arial" w:cs="Arial" w:eastAsia="Arial" w:hAnsi="Arial"/>
                <w:sz w:val="10"/>
                <w:szCs w:val="10"/>
                <w:b w:val="1"/>
                <w:bCs w:val="1"/>
                <w:color w:val="auto"/>
                <w:w w:val="86"/>
              </w:rPr>
              <w:t>December 31,</w:t>
            </w:r>
          </w:p>
        </w:tc>
        <w:tc>
          <w:tcPr>
            <w:tcW w:w="100" w:type="dxa"/>
            <w:vAlign w:val="bottom"/>
          </w:tcPr>
          <w:p>
            <w:pPr>
              <w:spacing w:after="0"/>
              <w:rPr>
                <w:sz w:val="10"/>
                <w:szCs w:val="10"/>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Borders>
              <w:bottom w:val="single" w:sz="8" w:color="CFF0FC"/>
            </w:tcBorders>
          </w:tcPr>
          <w:p>
            <w:pPr>
              <w:spacing w:after="0"/>
              <w:rPr>
                <w:sz w:val="9"/>
                <w:szCs w:val="9"/>
                <w:color w:val="auto"/>
              </w:rPr>
            </w:pPr>
          </w:p>
        </w:tc>
        <w:tc>
          <w:tcPr>
            <w:tcW w:w="1080" w:type="dxa"/>
            <w:vAlign w:val="bottom"/>
            <w:tcBorders>
              <w:bottom w:val="single" w:sz="8" w:color="CFF0FC"/>
            </w:tcBorders>
          </w:tcPr>
          <w:p>
            <w:pPr>
              <w:spacing w:after="0"/>
              <w:rPr>
                <w:sz w:val="9"/>
                <w:szCs w:val="9"/>
                <w:color w:val="auto"/>
              </w:rPr>
            </w:pPr>
          </w:p>
        </w:tc>
        <w:tc>
          <w:tcPr>
            <w:tcW w:w="680" w:type="dxa"/>
            <w:vAlign w:val="bottom"/>
            <w:tcBorders>
              <w:bottom w:val="single" w:sz="8" w:color="CFF0FC"/>
            </w:tcBorders>
          </w:tcPr>
          <w:p>
            <w:pPr>
              <w:spacing w:after="0"/>
              <w:rPr>
                <w:sz w:val="9"/>
                <w:szCs w:val="9"/>
                <w:color w:val="auto"/>
              </w:rPr>
            </w:pPr>
          </w:p>
        </w:tc>
        <w:tc>
          <w:tcPr>
            <w:tcW w:w="340" w:type="dxa"/>
            <w:vAlign w:val="bottom"/>
            <w:tcBorders>
              <w:bottom w:val="single" w:sz="8" w:color="CFF0FC"/>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920" w:type="dxa"/>
            <w:vAlign w:val="bottom"/>
            <w:tcBorders>
              <w:bottom w:val="single" w:sz="8" w:color="CFF0FC"/>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3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ind w:right="20"/>
              <w:spacing w:after="0" w:line="114" w:lineRule="exact"/>
              <w:rPr>
                <w:sz w:val="20"/>
                <w:szCs w:val="20"/>
                <w:color w:val="auto"/>
              </w:rPr>
            </w:pPr>
            <w:r>
              <w:rPr>
                <w:rFonts w:ascii="Arial" w:cs="Arial" w:eastAsia="Arial" w:hAnsi="Arial"/>
                <w:sz w:val="10"/>
                <w:szCs w:val="10"/>
                <w:b w:val="1"/>
                <w:bCs w:val="1"/>
                <w:color w:val="auto"/>
              </w:rPr>
              <w:t>2020</w:t>
            </w: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Computer hardware</w:t>
            </w: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100" w:type="dxa"/>
            <w:vAlign w:val="bottom"/>
            <w:tcBorders>
              <w:right w:val="single" w:sz="8" w:color="CFF0FC"/>
            </w:tcBorders>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780" w:type="dxa"/>
            <w:vAlign w:val="bottom"/>
            <w:gridSpan w:val="3"/>
          </w:tcPr>
          <w:p>
            <w:pPr>
              <w:ind w:left="1120"/>
              <w:spacing w:after="0"/>
              <w:rPr>
                <w:sz w:val="20"/>
                <w:szCs w:val="20"/>
                <w:color w:val="auto"/>
              </w:rPr>
            </w:pPr>
            <w:r>
              <w:rPr>
                <w:rFonts w:ascii="Arial" w:cs="Arial" w:eastAsia="Arial" w:hAnsi="Arial"/>
                <w:sz w:val="12"/>
                <w:szCs w:val="12"/>
                <w:color w:val="auto"/>
              </w:rPr>
              <w:t>Computer software</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w w:val="82"/>
              </w:rPr>
              <w:t>—</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Furniture and fixtures</w:t>
            </w:r>
          </w:p>
        </w:tc>
        <w:tc>
          <w:tcPr>
            <w:tcW w:w="6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right w:val="single" w:sz="8" w:color="CFF0FC"/>
            </w:tcBorders>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780" w:type="dxa"/>
            <w:vAlign w:val="bottom"/>
            <w:gridSpan w:val="3"/>
          </w:tcPr>
          <w:p>
            <w:pPr>
              <w:ind w:left="1120"/>
              <w:spacing w:after="0"/>
              <w:rPr>
                <w:sz w:val="20"/>
                <w:szCs w:val="20"/>
                <w:color w:val="auto"/>
              </w:rPr>
            </w:pPr>
            <w:r>
              <w:rPr>
                <w:rFonts w:ascii="Arial" w:cs="Arial" w:eastAsia="Arial" w:hAnsi="Arial"/>
                <w:sz w:val="12"/>
                <w:szCs w:val="12"/>
                <w:color w:val="auto"/>
              </w:rPr>
              <w:t>Leasehold improvements</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w w:val="82"/>
              </w:rPr>
              <w:t>—</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left w:val="single" w:sz="8" w:color="CFF0FC"/>
            </w:tcBorders>
            <w:shd w:val="clear" w:color="auto" w:fill="CFF0FC"/>
          </w:tcPr>
          <w:p>
            <w:pPr>
              <w:spacing w:after="0"/>
              <w:rPr>
                <w:sz w:val="12"/>
                <w:szCs w:val="12"/>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3460" w:type="dxa"/>
            <w:vAlign w:val="bottom"/>
            <w:gridSpan w:val="4"/>
          </w:tcPr>
          <w:p>
            <w:pPr>
              <w:ind w:left="1120"/>
              <w:spacing w:after="0"/>
              <w:rPr>
                <w:sz w:val="20"/>
                <w:szCs w:val="20"/>
                <w:color w:val="auto"/>
              </w:rPr>
            </w:pPr>
            <w:r>
              <w:rPr>
                <w:rFonts w:ascii="Arial" w:cs="Arial" w:eastAsia="Arial" w:hAnsi="Arial"/>
                <w:sz w:val="12"/>
                <w:szCs w:val="12"/>
                <w:color w:val="auto"/>
                <w:w w:val="90"/>
              </w:rPr>
              <w:t>Less accumulated depreciation and amortization</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40" w:type="dxa"/>
            <w:vAlign w:val="bottom"/>
            <w:gridSpan w:val="2"/>
            <w:vMerge w:val="continue"/>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right w:val="single" w:sz="8" w:color="CFF0FC"/>
            </w:tcBorders>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tcBorders>
              <w:left w:val="single" w:sz="8" w:color="CFF0FC"/>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0" w:type="dxa"/>
            <w:vAlign w:val="bottom"/>
          </w:tcPr>
          <w:p>
            <w:pPr>
              <w:spacing w:after="0"/>
              <w:rPr>
                <w:sz w:val="23"/>
                <w:szCs w:val="23"/>
                <w:color w:val="auto"/>
              </w:rPr>
            </w:pPr>
          </w:p>
        </w:tc>
        <w:tc>
          <w:tcPr>
            <w:tcW w:w="6220" w:type="dxa"/>
            <w:vAlign w:val="bottom"/>
            <w:gridSpan w:val="11"/>
          </w:tcPr>
          <w:p>
            <w:pPr>
              <w:ind w:left="20"/>
              <w:spacing w:after="0"/>
              <w:rPr>
                <w:sz w:val="20"/>
                <w:szCs w:val="20"/>
                <w:color w:val="auto"/>
              </w:rPr>
            </w:pPr>
            <w:r>
              <w:rPr>
                <w:rFonts w:ascii="Arial" w:cs="Arial" w:eastAsia="Arial" w:hAnsi="Arial"/>
                <w:sz w:val="12"/>
                <w:szCs w:val="12"/>
                <w:color w:val="auto"/>
                <w:w w:val="93"/>
              </w:rPr>
              <w:t>Depreciation expense was approximately $11,000 for each of the years ended December 31, 2020 and December 31, 2019.</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334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Intangible Assets, Net</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780" w:type="dxa"/>
            <w:vAlign w:val="bottom"/>
            <w:gridSpan w:val="3"/>
          </w:tcPr>
          <w:p>
            <w:pPr>
              <w:ind w:left="20"/>
              <w:spacing w:after="0"/>
              <w:rPr>
                <w:sz w:val="20"/>
                <w:szCs w:val="20"/>
                <w:color w:val="auto"/>
              </w:rPr>
            </w:pPr>
            <w:r>
              <w:rPr>
                <w:rFonts w:ascii="Arial" w:cs="Arial" w:eastAsia="Arial" w:hAnsi="Arial"/>
                <w:sz w:val="12"/>
                <w:szCs w:val="12"/>
                <w:color w:val="auto"/>
                <w:w w:val="92"/>
              </w:rPr>
              <w:t>Intangible assets consist of the following (in thousands).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6"/>
              </w:rPr>
              <w:t>December 31, 2020</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w w:val="86"/>
              </w:rPr>
              <w:t>December 31, 2019</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jc w:val="center"/>
              <w:ind w:right="300"/>
              <w:spacing w:after="0" w:line="83" w:lineRule="exact"/>
              <w:rPr>
                <w:sz w:val="20"/>
                <w:szCs w:val="20"/>
                <w:color w:val="auto"/>
              </w:rPr>
            </w:pPr>
            <w:r>
              <w:rPr>
                <w:rFonts w:ascii="Arial" w:cs="Arial" w:eastAsia="Arial" w:hAnsi="Arial"/>
                <w:sz w:val="8"/>
                <w:szCs w:val="8"/>
                <w:b w:val="1"/>
                <w:bCs w:val="1"/>
                <w:color w:val="auto"/>
              </w:rPr>
              <w:t>Accumulated</w:t>
            </w:r>
          </w:p>
        </w:tc>
        <w:tc>
          <w:tcPr>
            <w:tcW w:w="220" w:type="dxa"/>
            <w:vAlign w:val="bottom"/>
          </w:tcPr>
          <w:p>
            <w:pPr>
              <w:spacing w:after="0"/>
              <w:rPr>
                <w:sz w:val="7"/>
                <w:szCs w:val="7"/>
                <w:color w:val="auto"/>
              </w:rPr>
            </w:pPr>
          </w:p>
        </w:tc>
        <w:tc>
          <w:tcPr>
            <w:tcW w:w="780" w:type="dxa"/>
            <w:vAlign w:val="bottom"/>
          </w:tcPr>
          <w:p>
            <w:pPr>
              <w:jc w:val="right"/>
              <w:ind w:right="368"/>
              <w:spacing w:after="0" w:line="83" w:lineRule="exact"/>
              <w:rPr>
                <w:sz w:val="20"/>
                <w:szCs w:val="20"/>
                <w:color w:val="auto"/>
              </w:rPr>
            </w:pPr>
            <w:r>
              <w:rPr>
                <w:rFonts w:ascii="Arial" w:cs="Arial" w:eastAsia="Arial" w:hAnsi="Arial"/>
                <w:sz w:val="8"/>
                <w:szCs w:val="8"/>
                <w:b w:val="1"/>
                <w:bCs w:val="1"/>
                <w:color w:val="auto"/>
              </w:rPr>
              <w:t>Net</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4"/>
          </w:tcPr>
          <w:p>
            <w:pPr>
              <w:jc w:val="right"/>
              <w:ind w:right="480"/>
              <w:spacing w:after="0" w:line="83" w:lineRule="exact"/>
              <w:rPr>
                <w:sz w:val="20"/>
                <w:szCs w:val="20"/>
                <w:color w:val="auto"/>
              </w:rPr>
            </w:pPr>
            <w:r>
              <w:rPr>
                <w:rFonts w:ascii="Arial" w:cs="Arial" w:eastAsia="Arial" w:hAnsi="Arial"/>
                <w:sz w:val="8"/>
                <w:szCs w:val="8"/>
                <w:b w:val="1"/>
                <w:bCs w:val="1"/>
                <w:color w:val="auto"/>
              </w:rPr>
              <w:t>Accumulated</w:t>
            </w:r>
          </w:p>
        </w:tc>
        <w:tc>
          <w:tcPr>
            <w:tcW w:w="180" w:type="dxa"/>
            <w:vAlign w:val="bottom"/>
          </w:tcPr>
          <w:p>
            <w:pPr>
              <w:spacing w:after="0"/>
              <w:rPr>
                <w:sz w:val="7"/>
                <w:szCs w:val="7"/>
                <w:color w:val="auto"/>
              </w:rPr>
            </w:pPr>
          </w:p>
        </w:tc>
        <w:tc>
          <w:tcPr>
            <w:tcW w:w="820" w:type="dxa"/>
            <w:vAlign w:val="bottom"/>
          </w:tcPr>
          <w:p>
            <w:pPr>
              <w:jc w:val="right"/>
              <w:ind w:right="388"/>
              <w:spacing w:after="0" w:line="83" w:lineRule="exact"/>
              <w:rPr>
                <w:sz w:val="20"/>
                <w:szCs w:val="20"/>
                <w:color w:val="auto"/>
              </w:rPr>
            </w:pPr>
            <w:r>
              <w:rPr>
                <w:rFonts w:ascii="Arial" w:cs="Arial" w:eastAsia="Arial" w:hAnsi="Arial"/>
                <w:sz w:val="8"/>
                <w:szCs w:val="8"/>
                <w:b w:val="1"/>
                <w:bCs w:val="1"/>
                <w:color w:val="auto"/>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1140" w:type="dxa"/>
            <w:vAlign w:val="bottom"/>
            <w:tcBorders>
              <w:bottom w:val="single" w:sz="8" w:color="CFF0FC"/>
            </w:tcBorders>
          </w:tcPr>
          <w:p>
            <w:pPr>
              <w:spacing w:after="0"/>
              <w:rPr>
                <w:sz w:val="9"/>
                <w:szCs w:val="9"/>
                <w:color w:val="auto"/>
              </w:rPr>
            </w:pPr>
          </w:p>
        </w:tc>
        <w:tc>
          <w:tcPr>
            <w:tcW w:w="560" w:type="dxa"/>
            <w:vAlign w:val="bottom"/>
            <w:tcBorders>
              <w:bottom w:val="single" w:sz="8" w:color="CFF0FC"/>
            </w:tcBorders>
          </w:tcPr>
          <w:p>
            <w:pPr>
              <w:spacing w:after="0"/>
              <w:rPr>
                <w:sz w:val="9"/>
                <w:szCs w:val="9"/>
                <w:color w:val="auto"/>
              </w:rPr>
            </w:pPr>
          </w:p>
        </w:tc>
        <w:tc>
          <w:tcPr>
            <w:tcW w:w="108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Amount</w:t>
            </w: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68"/>
              <w:spacing w:after="0" w:line="114" w:lineRule="exact"/>
              <w:rPr>
                <w:sz w:val="20"/>
                <w:szCs w:val="20"/>
                <w:color w:val="auto"/>
              </w:rPr>
            </w:pPr>
            <w:r>
              <w:rPr>
                <w:rFonts w:ascii="Arial" w:cs="Arial" w:eastAsia="Arial" w:hAnsi="Arial"/>
                <w:sz w:val="10"/>
                <w:szCs w:val="10"/>
                <w:b w:val="1"/>
                <w:bCs w:val="1"/>
                <w:color w:val="auto"/>
                <w:w w:val="91"/>
              </w:rPr>
              <w:t>Amortization</w:t>
            </w:r>
          </w:p>
        </w:tc>
        <w:tc>
          <w:tcPr>
            <w:tcW w:w="20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88"/>
              <w:spacing w:after="0" w:line="114" w:lineRule="exact"/>
              <w:rPr>
                <w:sz w:val="20"/>
                <w:szCs w:val="20"/>
                <w:color w:val="auto"/>
              </w:rPr>
            </w:pPr>
            <w:r>
              <w:rPr>
                <w:rFonts w:ascii="Arial" w:cs="Arial" w:eastAsia="Arial" w:hAnsi="Arial"/>
                <w:sz w:val="10"/>
                <w:szCs w:val="10"/>
                <w:b w:val="1"/>
                <w:bCs w:val="1"/>
                <w:color w:val="auto"/>
              </w:rPr>
              <w:t>Amount</w:t>
            </w:r>
          </w:p>
        </w:tc>
        <w:tc>
          <w:tcPr>
            <w:tcW w:w="3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ind w:left="180"/>
              <w:spacing w:after="0" w:line="114" w:lineRule="exact"/>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CFF0FC"/>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Amortization</w:t>
            </w:r>
          </w:p>
        </w:tc>
        <w:tc>
          <w:tcPr>
            <w:tcW w:w="240" w:type="dxa"/>
            <w:vAlign w:val="bottom"/>
            <w:tcBorders>
              <w:bottom w:val="single" w:sz="8" w:color="CFF0FC"/>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88"/>
              <w:spacing w:after="0" w:line="114" w:lineRule="exact"/>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27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Patents and merger costs</w:t>
            </w: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1"/>
              </w:rPr>
              <w:t>22,003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(7,422)</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14,581</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FF0FC"/>
          </w:tcPr>
          <w:p>
            <w:pPr>
              <w:ind w:left="520"/>
              <w:spacing w:after="0"/>
              <w:rPr>
                <w:sz w:val="20"/>
                <w:szCs w:val="20"/>
                <w:color w:val="auto"/>
              </w:rPr>
            </w:pPr>
            <w:r>
              <w:rPr>
                <w:rFonts w:ascii="Arial" w:cs="Arial" w:eastAsia="Arial" w:hAnsi="Arial"/>
                <w:sz w:val="12"/>
                <w:szCs w:val="12"/>
                <w:color w:val="auto"/>
                <w:w w:val="87"/>
              </w:rPr>
              <w:t>22,003</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jc w:val="center"/>
              <w:spacing w:after="0"/>
              <w:rPr>
                <w:sz w:val="20"/>
                <w:szCs w:val="20"/>
                <w:color w:val="auto"/>
              </w:rPr>
            </w:pPr>
            <w:r>
              <w:rPr>
                <w:rFonts w:ascii="Arial" w:cs="Arial" w:eastAsia="Arial" w:hAnsi="Arial"/>
                <w:sz w:val="12"/>
                <w:szCs w:val="12"/>
                <w:color w:val="auto"/>
                <w:w w:val="89"/>
              </w:rPr>
              <w:t>$</w:t>
            </w: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(5,478)</w:t>
            </w:r>
          </w:p>
        </w:tc>
        <w:tc>
          <w:tcPr>
            <w:tcW w:w="10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116"/>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780" w:type="dxa"/>
            <w:vAlign w:val="bottom"/>
            <w:gridSpan w:val="3"/>
            <w:vMerge w:val="restart"/>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2780" w:type="dxa"/>
            <w:vAlign w:val="bottom"/>
            <w:gridSpan w:val="3"/>
            <w:vMerge w:val="continue"/>
          </w:tcPr>
          <w:p>
            <w:pPr>
              <w:spacing w:after="0"/>
              <w:rPr>
                <w:sz w:val="12"/>
                <w:szCs w:val="12"/>
                <w:color w:val="auto"/>
              </w:rPr>
            </w:pP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1"/>
              </w:rPr>
              <w:t>22,003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(7,422)</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14,581</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gridSpan w:val="3"/>
          </w:tcPr>
          <w:p>
            <w:pPr>
              <w:ind w:left="520"/>
              <w:spacing w:after="0"/>
              <w:rPr>
                <w:sz w:val="20"/>
                <w:szCs w:val="20"/>
                <w:color w:val="auto"/>
              </w:rPr>
            </w:pPr>
            <w:r>
              <w:rPr>
                <w:rFonts w:ascii="Arial" w:cs="Arial" w:eastAsia="Arial" w:hAnsi="Arial"/>
                <w:sz w:val="12"/>
                <w:szCs w:val="12"/>
                <w:color w:val="auto"/>
                <w:w w:val="87"/>
              </w:rPr>
              <w:t>22,003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040" w:type="dxa"/>
            <w:vAlign w:val="bottom"/>
            <w:gridSpan w:val="3"/>
          </w:tcPr>
          <w:p>
            <w:pPr>
              <w:jc w:val="right"/>
              <w:ind w:right="40"/>
              <w:spacing w:after="0"/>
              <w:rPr>
                <w:sz w:val="20"/>
                <w:szCs w:val="20"/>
                <w:color w:val="auto"/>
              </w:rPr>
            </w:pPr>
            <w:r>
              <w:rPr>
                <w:rFonts w:ascii="Arial" w:cs="Arial" w:eastAsia="Arial" w:hAnsi="Arial"/>
                <w:sz w:val="12"/>
                <w:szCs w:val="12"/>
                <w:color w:val="auto"/>
              </w:rPr>
              <w:t>(5,478)</w:t>
            </w:r>
          </w:p>
        </w:tc>
        <w:tc>
          <w:tcPr>
            <w:tcW w:w="100" w:type="dxa"/>
            <w:vAlign w:val="bottom"/>
          </w:tcPr>
          <w:p>
            <w:pPr>
              <w:spacing w:after="0"/>
              <w:rPr>
                <w:sz w:val="12"/>
                <w:szCs w:val="12"/>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560" w:type="dxa"/>
            <w:vAlign w:val="bottom"/>
          </w:tcPr>
          <w:p>
            <w:pPr>
              <w:spacing w:after="0"/>
              <w:rPr>
                <w:sz w:val="24"/>
                <w:szCs w:val="24"/>
                <w:color w:val="auto"/>
              </w:rPr>
            </w:pPr>
          </w:p>
        </w:tc>
        <w:tc>
          <w:tcPr>
            <w:tcW w:w="5440" w:type="dxa"/>
            <w:vAlign w:val="bottom"/>
            <w:gridSpan w:val="10"/>
          </w:tcPr>
          <w:p>
            <w:pPr>
              <w:ind w:left="20"/>
              <w:spacing w:after="0"/>
              <w:rPr>
                <w:sz w:val="20"/>
                <w:szCs w:val="20"/>
                <w:color w:val="auto"/>
              </w:rPr>
            </w:pPr>
            <w:r>
              <w:rPr>
                <w:rFonts w:ascii="Arial" w:cs="Arial" w:eastAsia="Arial" w:hAnsi="Arial"/>
                <w:sz w:val="12"/>
                <w:szCs w:val="12"/>
                <w:color w:val="auto"/>
                <w:w w:val="92"/>
              </w:rPr>
              <w:t>Future amortization expense for intangible assets over their remaining useful lives is as follows (in thousands).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8"/>
          </w:tcPr>
          <w:p>
            <w:pPr>
              <w:jc w:val="center"/>
              <w:ind w:right="660"/>
              <w:spacing w:after="0"/>
              <w:rPr>
                <w:sz w:val="20"/>
                <w:szCs w:val="20"/>
                <w:color w:val="auto"/>
              </w:rPr>
            </w:pPr>
            <w:r>
              <w:rPr>
                <w:rFonts w:ascii="Arial" w:cs="Arial" w:eastAsia="Arial" w:hAnsi="Arial"/>
                <w:sz w:val="10"/>
                <w:szCs w:val="10"/>
                <w:b w:val="1"/>
                <w:bCs w:val="1"/>
                <w:color w:val="auto"/>
                <w:w w:val="84"/>
              </w:rPr>
              <w:t>Patents and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40" w:type="dxa"/>
            <w:vAlign w:val="bottom"/>
            <w:gridSpan w:val="2"/>
          </w:tcPr>
          <w:p>
            <w:pPr>
              <w:ind w:left="560"/>
              <w:spacing w:after="0" w:line="114" w:lineRule="exact"/>
              <w:rPr>
                <w:sz w:val="20"/>
                <w:szCs w:val="20"/>
                <w:color w:val="auto"/>
              </w:rPr>
            </w:pPr>
            <w:r>
              <w:rPr>
                <w:rFonts w:ascii="Arial" w:cs="Arial" w:eastAsia="Arial" w:hAnsi="Arial"/>
                <w:sz w:val="10"/>
                <w:szCs w:val="10"/>
                <w:b w:val="1"/>
                <w:bCs w:val="1"/>
                <w:color w:val="auto"/>
                <w:w w:val="86"/>
              </w:rPr>
              <w:t>Year ending December 31</w:t>
            </w: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gridSpan w:val="8"/>
          </w:tcPr>
          <w:p>
            <w:pPr>
              <w:jc w:val="center"/>
              <w:ind w:right="660"/>
              <w:spacing w:after="0" w:line="114" w:lineRule="exact"/>
              <w:rPr>
                <w:sz w:val="20"/>
                <w:szCs w:val="20"/>
                <w:color w:val="auto"/>
              </w:rPr>
            </w:pPr>
            <w:r>
              <w:rPr>
                <w:rFonts w:ascii="Arial" w:cs="Arial" w:eastAsia="Arial" w:hAnsi="Arial"/>
                <w:sz w:val="10"/>
                <w:szCs w:val="10"/>
                <w:b w:val="1"/>
                <w:bCs w:val="1"/>
                <w:color w:val="auto"/>
                <w:w w:val="88"/>
              </w:rPr>
              <w:t>trademarks</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1,944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40" w:type="dxa"/>
            <w:vAlign w:val="bottom"/>
            <w:gridSpan w:val="4"/>
          </w:tcPr>
          <w:p>
            <w:pPr>
              <w:ind w:left="2260"/>
              <w:spacing w:after="0"/>
              <w:rPr>
                <w:sz w:val="20"/>
                <w:szCs w:val="20"/>
                <w:color w:val="auto"/>
              </w:rPr>
            </w:pPr>
            <w:r>
              <w:rPr>
                <w:rFonts w:ascii="Arial" w:cs="Arial" w:eastAsia="Arial" w:hAnsi="Arial"/>
                <w:sz w:val="12"/>
                <w:szCs w:val="12"/>
                <w:color w:val="auto"/>
              </w:rPr>
              <w:t>2022</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1,944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3"/>
          </w:tcPr>
          <w:p>
            <w:pPr>
              <w:spacing w:after="0"/>
              <w:rPr>
                <w:sz w:val="13"/>
                <w:szCs w:val="13"/>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6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1,944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40" w:type="dxa"/>
            <w:vAlign w:val="bottom"/>
            <w:gridSpan w:val="4"/>
          </w:tcPr>
          <w:p>
            <w:pPr>
              <w:ind w:left="2260"/>
              <w:spacing w:after="0"/>
              <w:rPr>
                <w:sz w:val="20"/>
                <w:szCs w:val="20"/>
                <w:color w:val="auto"/>
              </w:rPr>
            </w:pPr>
            <w:r>
              <w:rPr>
                <w:rFonts w:ascii="Arial" w:cs="Arial" w:eastAsia="Arial" w:hAnsi="Arial"/>
                <w:sz w:val="12"/>
                <w:szCs w:val="12"/>
                <w:color w:val="auto"/>
              </w:rPr>
              <w:t>2024</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1,944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3"/>
          </w:tcPr>
          <w:p>
            <w:pPr>
              <w:spacing w:after="0"/>
              <w:rPr>
                <w:sz w:val="13"/>
                <w:szCs w:val="13"/>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2"/>
                <w:szCs w:val="12"/>
                <w:color w:val="auto"/>
              </w:rPr>
              <w:t>2025</w:t>
            </w:r>
          </w:p>
        </w:tc>
        <w:tc>
          <w:tcPr>
            <w:tcW w:w="6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5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1,944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gridSpan w:val="2"/>
          </w:tcPr>
          <w:p>
            <w:pPr>
              <w:ind w:left="560"/>
              <w:spacing w:after="0"/>
              <w:rPr>
                <w:sz w:val="20"/>
                <w:szCs w:val="20"/>
                <w:color w:val="auto"/>
              </w:rPr>
            </w:pPr>
            <w:r>
              <w:rPr>
                <w:rFonts w:ascii="Arial" w:cs="Arial" w:eastAsia="Arial" w:hAnsi="Arial"/>
                <w:sz w:val="12"/>
                <w:szCs w:val="12"/>
                <w:color w:val="auto"/>
              </w:rPr>
              <w:t>2026 and thereafter</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4,861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vMerge w:val="continue"/>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3"/>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5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14,581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560" w:type="dxa"/>
            <w:vAlign w:val="bottom"/>
            <w:tcBorders>
              <w:right w:val="single" w:sz="8" w:color="CFF0FC"/>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Amortization expense was $1.9 million for the year ended December 31, 2020 and 2019.</w:t>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Warrant Liabilities</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 xml:space="preserve">The Company has issued multiple warrant series, of which the Series A Warrants, Series C Warrants, the 2017 PIPE Warrants and the 2018 PIPE Warrants (the Warrants) were determined to be liabilities pursuant to the guidance established by </w:t>
      </w:r>
      <w:r>
        <w:rPr>
          <w:rFonts w:ascii="Arial" w:cs="Arial" w:eastAsia="Arial" w:hAnsi="Arial"/>
          <w:sz w:val="12"/>
          <w:szCs w:val="12"/>
          <w:i w:val="1"/>
          <w:iCs w:val="1"/>
          <w:color w:val="auto"/>
        </w:rPr>
        <w:t>ASC 815 Derivatives and Hedging.</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040"/>
          </w:cols>
          <w:pgMar w:left="300" w:top="415" w:right="55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i w:val="1"/>
          <w:iCs w:val="1"/>
          <w:color w:val="auto"/>
        </w:rPr>
        <w:t>Accounting Treatment</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 xml:space="preserve">The Company accounts for the Warrants in accordance with the guidance in </w:t>
      </w:r>
      <w:r>
        <w:rPr>
          <w:rFonts w:ascii="Arial" w:cs="Arial" w:eastAsia="Arial" w:hAnsi="Arial"/>
          <w:sz w:val="11"/>
          <w:szCs w:val="11"/>
          <w:i w:val="1"/>
          <w:iCs w:val="1"/>
          <w:color w:val="auto"/>
        </w:rPr>
        <w:t>ASC 815</w:t>
      </w:r>
      <w:r>
        <w:rPr>
          <w:rFonts w:ascii="Arial" w:cs="Arial" w:eastAsia="Arial" w:hAnsi="Arial"/>
          <w:sz w:val="11"/>
          <w:szCs w:val="11"/>
          <w:color w:val="auto"/>
        </w:rPr>
        <w:t>. As indicated above, the Company may be obligated to settle Warrants in cash in the case of a Fundamental Transaction.</w:t>
      </w:r>
    </w:p>
    <w:p>
      <w:pPr>
        <w:spacing w:after="0" w:line="162" w:lineRule="exact"/>
        <w:rPr>
          <w:sz w:val="20"/>
          <w:szCs w:val="20"/>
          <w:color w:val="auto"/>
        </w:rPr>
      </w:pPr>
    </w:p>
    <w:p>
      <w:pPr>
        <w:ind w:right="240" w:firstLine="592"/>
        <w:spacing w:after="0" w:line="276" w:lineRule="auto"/>
        <w:rPr>
          <w:sz w:val="20"/>
          <w:szCs w:val="20"/>
          <w:color w:val="auto"/>
        </w:rPr>
      </w:pPr>
      <w:r>
        <w:rPr>
          <w:rFonts w:ascii="Arial" w:cs="Arial" w:eastAsia="Arial" w:hAnsi="Arial"/>
          <w:sz w:val="12"/>
          <w:szCs w:val="12"/>
          <w:color w:val="auto"/>
        </w:rPr>
        <w:t>The Company classified the Warrants as long-term liabilities at their fair value and will re-measure the warrants at each balance sheet date until they are exercised or expire. Any change in the fair value is recognized as other income (expense) in the Company’s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A Warrants</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Company issued 489,921 Series A Warrants to purchase shares of its common stock at an exercise price of $32.50 per share in connection with the unit offering offered in the Company’s initial public offering (the IPO), in November 2014. The Series A Warrants were exercisable prior to the expiration of the five-year term on November 12, 2019.</w:t>
      </w:r>
    </w:p>
    <w:p>
      <w:pPr>
        <w:spacing w:after="0" w:line="115" w:lineRule="exact"/>
        <w:rPr>
          <w:sz w:val="20"/>
          <w:szCs w:val="20"/>
          <w:color w:val="auto"/>
        </w:rPr>
      </w:pPr>
    </w:p>
    <w:p>
      <w:pPr>
        <w:ind w:right="20" w:firstLine="592"/>
        <w:spacing w:after="0" w:line="263" w:lineRule="auto"/>
        <w:rPr>
          <w:sz w:val="20"/>
          <w:szCs w:val="20"/>
          <w:color w:val="auto"/>
        </w:rPr>
      </w:pPr>
      <w:r>
        <w:rPr>
          <w:rFonts w:ascii="Arial" w:cs="Arial" w:eastAsia="Arial" w:hAnsi="Arial"/>
          <w:sz w:val="12"/>
          <w:szCs w:val="12"/>
          <w:color w:val="auto"/>
        </w:rPr>
        <w:t>The Series A Warrants contained a fundamental transactions provision that permitted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were considered to have a cash settlement feature that precluded their classification as equity instruments.</w:t>
      </w:r>
    </w:p>
    <w:p>
      <w:pPr>
        <w:spacing w:after="0" w:line="122" w:lineRule="exact"/>
        <w:rPr>
          <w:sz w:val="20"/>
          <w:szCs w:val="20"/>
          <w:color w:val="auto"/>
        </w:rPr>
      </w:pPr>
    </w:p>
    <w:p>
      <w:pPr>
        <w:ind w:right="40" w:firstLine="592"/>
        <w:spacing w:after="0" w:line="276" w:lineRule="auto"/>
        <w:rPr>
          <w:sz w:val="20"/>
          <w:szCs w:val="20"/>
          <w:color w:val="auto"/>
        </w:rPr>
      </w:pPr>
      <w:r>
        <w:rPr>
          <w:rFonts w:ascii="Arial" w:cs="Arial" w:eastAsia="Arial" w:hAnsi="Arial"/>
          <w:sz w:val="12"/>
          <w:szCs w:val="12"/>
          <w:color w:val="auto"/>
        </w:rPr>
        <w:t>Since their issuance, a total of 4,800 Series A Warrants have been exercised. On November 12, 2019, the remaining Series A Warrants expired. The decrease in fair value of approximately $49,000 from December 31, 2018 was recorded as other income (expense)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C Warrants</w:t>
      </w:r>
    </w:p>
    <w:p>
      <w:pPr>
        <w:spacing w:after="0" w:line="78" w:lineRule="exact"/>
        <w:rPr>
          <w:sz w:val="20"/>
          <w:szCs w:val="20"/>
          <w:color w:val="auto"/>
        </w:rPr>
      </w:pPr>
    </w:p>
    <w:p>
      <w:pPr>
        <w:ind w:right="60" w:firstLine="592"/>
        <w:spacing w:after="0" w:line="261" w:lineRule="auto"/>
        <w:rPr>
          <w:sz w:val="20"/>
          <w:szCs w:val="20"/>
          <w:color w:val="auto"/>
        </w:rPr>
      </w:pPr>
      <w:r>
        <w:rPr>
          <w:rFonts w:ascii="Arial" w:cs="Arial" w:eastAsia="Arial" w:hAnsi="Arial"/>
          <w:sz w:val="12"/>
          <w:szCs w:val="12"/>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$3.8 million based on the exercise price of the Series B Warrants. In April 2015, the Company issued a tender offer to the remaining holders of Series B Warrants to induce the holders to cash exercise the outstanding Series B Warrants in exchange for new Series C Warrants with an exercise price of $31.25 per share that expired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7" w:name="page78"/>
    <w:bookmarkEnd w:id="77"/>
    <w:p>
      <w:pPr>
        <w:ind w:right="40" w:firstLine="658"/>
        <w:spacing w:after="0" w:line="281" w:lineRule="auto"/>
        <w:rPr>
          <w:sz w:val="20"/>
          <w:szCs w:val="20"/>
          <w:color w:val="auto"/>
        </w:rPr>
      </w:pPr>
      <w:r>
        <w:rPr>
          <w:rFonts w:ascii="Arial" w:cs="Arial" w:eastAsia="Arial" w:hAnsi="Arial"/>
          <w:sz w:val="11"/>
          <w:szCs w:val="11"/>
          <w:color w:val="auto"/>
        </w:rPr>
        <w:t>In connection with this exercise of the Series B Warrants, the Company issued to each investor who exercised Series B Warrants, new Series C Warrants for the number of shares of the Company’s common stock underlying the Series B Warrants that were exercised. Each Series C Warrant was exercisable at $31.25 per share prior to their expiration on March 5, 2020. The Series C Warrants contract further provided for the payment of liquidated damages at an amount per month equal to 1% of the aggregate volume weighted average price (VWAP), of the shares into which each Warrant was convertible into in the event that the Company was unable to maintain the effectiveness of a registration statement. The Company evaluated the registration payment arrangement stipulated in the terms of these securities and determined that it was probable that the Company would maintain an effective registration statement and therefore did not allocate any portion of the proceeds related to the warrant financings to the registration payment arrangement. The Warrants also contained a fundamental transactions provision that permitted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Series C Warrants were considered to have a cash settlement feature that precluded their classification as equity instruments.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0"/>
          <w:szCs w:val="10"/>
          <w:color w:val="auto"/>
        </w:rPr>
        <w:t>The Series C Warrants were exercisable into 118,083 shares of the Company’s common stock prior to their expiration on March 5, 2020. As of December 31, 2019, the fair value of the Series C Warrants was determined to</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be zero.</w:t>
      </w:r>
    </w:p>
    <w:p>
      <w:pPr>
        <w:spacing w:after="0" w:line="141"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The Company calculated the fair value of the Series C Warrants using a Black-Scholes pricing model. The Black-Scholes pricing model requires the input of highly subjective assumptions including the expected stock price volatility. The Company used the following inputs at December 31, 2019.</w:t>
      </w:r>
    </w:p>
    <w:p>
      <w:pPr>
        <w:spacing w:after="0" w:line="124" w:lineRule="exact"/>
        <w:rPr>
          <w:sz w:val="20"/>
          <w:szCs w:val="20"/>
          <w:color w:val="auto"/>
        </w:rPr>
      </w:pPr>
    </w:p>
    <w:tbl>
      <w:tblPr>
        <w:tblLayout w:type="fixed"/>
        <w:tblInd w:w="16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3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r>
      <w:tr>
        <w:trPr>
          <w:trHeight w:val="153"/>
        </w:trPr>
        <w:tc>
          <w:tcPr>
            <w:tcW w:w="4380" w:type="dxa"/>
            <w:vAlign w:val="bottom"/>
            <w:gridSpan w:val="2"/>
          </w:tcPr>
          <w:p>
            <w:pPr>
              <w:spacing w:after="0"/>
              <w:rPr>
                <w:sz w:val="20"/>
                <w:szCs w:val="20"/>
                <w:color w:val="auto"/>
              </w:rPr>
            </w:pPr>
            <w:r>
              <w:rPr>
                <w:rFonts w:ascii="Arial" w:cs="Arial" w:eastAsia="Arial" w:hAnsi="Arial"/>
                <w:sz w:val="12"/>
                <w:szCs w:val="12"/>
                <w:color w:val="auto"/>
              </w:rPr>
              <w:t>Contractual term (years)</w:t>
            </w:r>
          </w:p>
        </w:tc>
        <w:tc>
          <w:tcPr>
            <w:tcW w:w="3540" w:type="dxa"/>
            <w:vAlign w:val="bottom"/>
          </w:tcPr>
          <w:p>
            <w:pPr>
              <w:jc w:val="right"/>
              <w:ind w:right="60"/>
              <w:spacing w:after="0"/>
              <w:rPr>
                <w:sz w:val="20"/>
                <w:szCs w:val="20"/>
                <w:color w:val="auto"/>
              </w:rPr>
            </w:pPr>
            <w:r>
              <w:rPr>
                <w:rFonts w:ascii="Arial" w:cs="Arial" w:eastAsia="Arial" w:hAnsi="Arial"/>
                <w:sz w:val="12"/>
                <w:szCs w:val="12"/>
                <w:color w:val="auto"/>
              </w:rPr>
              <w:t>0.17</w:t>
            </w:r>
          </w:p>
        </w:tc>
      </w:tr>
      <w:tr>
        <w:trPr>
          <w:trHeight w:val="153"/>
        </w:trPr>
        <w:tc>
          <w:tcPr>
            <w:tcW w:w="20" w:type="dxa"/>
            <w:vAlign w:val="bottom"/>
          </w:tcPr>
          <w:p>
            <w:pPr>
              <w:spacing w:after="0"/>
              <w:rPr>
                <w:sz w:val="13"/>
                <w:szCs w:val="13"/>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3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380" w:type="dxa"/>
            <w:vAlign w:val="bottom"/>
            <w:gridSpan w:val="2"/>
          </w:tcPr>
          <w:p>
            <w:pPr>
              <w:spacing w:after="0"/>
              <w:rPr>
                <w:sz w:val="20"/>
                <w:szCs w:val="20"/>
                <w:color w:val="auto"/>
              </w:rPr>
            </w:pPr>
            <w:r>
              <w:rPr>
                <w:rFonts w:ascii="Arial" w:cs="Arial" w:eastAsia="Arial" w:hAnsi="Arial"/>
                <w:sz w:val="12"/>
                <w:szCs w:val="12"/>
                <w:color w:val="auto"/>
              </w:rPr>
              <w:t>Risk-free rate</w:t>
            </w:r>
          </w:p>
        </w:tc>
        <w:tc>
          <w:tcPr>
            <w:tcW w:w="3540" w:type="dxa"/>
            <w:vAlign w:val="bottom"/>
          </w:tcPr>
          <w:p>
            <w:pPr>
              <w:jc w:val="right"/>
              <w:spacing w:after="0"/>
              <w:rPr>
                <w:sz w:val="20"/>
                <w:szCs w:val="20"/>
                <w:color w:val="auto"/>
              </w:rPr>
            </w:pPr>
            <w:r>
              <w:rPr>
                <w:rFonts w:ascii="Arial" w:cs="Arial" w:eastAsia="Arial" w:hAnsi="Arial"/>
                <w:sz w:val="12"/>
                <w:szCs w:val="12"/>
                <w:color w:val="auto"/>
              </w:rPr>
              <w:t>1.52%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Issued as Part of the Units in the 2017 PIPE Offering</w:t>
      </w:r>
    </w:p>
    <w:p>
      <w:pPr>
        <w:spacing w:after="0" w:line="78" w:lineRule="exact"/>
        <w:rPr>
          <w:sz w:val="20"/>
          <w:szCs w:val="20"/>
          <w:color w:val="auto"/>
        </w:rPr>
      </w:pPr>
    </w:p>
    <w:p>
      <w:pPr>
        <w:ind w:right="100" w:firstLine="592"/>
        <w:spacing w:after="0" w:line="276" w:lineRule="auto"/>
        <w:rPr>
          <w:sz w:val="20"/>
          <w:szCs w:val="20"/>
          <w:color w:val="auto"/>
        </w:rPr>
      </w:pPr>
      <w:r>
        <w:rPr>
          <w:rFonts w:ascii="Arial" w:cs="Arial" w:eastAsia="Arial" w:hAnsi="Arial"/>
          <w:sz w:val="12"/>
          <w:szCs w:val="12"/>
          <w:color w:val="auto"/>
        </w:rPr>
        <w:t>The 2017 PIPE Warrants were issued on December 15, 2017 in the 2017 PIPE Offering, pursuant to a Warrant Agreement with each of the investors in the 2017 PIPE Offering, and prior to their expiration on December 15, 2020, entitled the holders to purchase 6,024,425 shares of the Company’s common stock at an exercise price equal to $2.00 per share, subject to certain adjustments.</w:t>
      </w:r>
    </w:p>
    <w:p>
      <w:pPr>
        <w:spacing w:after="0" w:line="115" w:lineRule="exact"/>
        <w:rPr>
          <w:sz w:val="20"/>
          <w:szCs w:val="20"/>
          <w:color w:val="auto"/>
        </w:rPr>
      </w:pPr>
    </w:p>
    <w:p>
      <w:pPr>
        <w:ind w:right="60" w:firstLine="592"/>
        <w:spacing w:after="0" w:line="263" w:lineRule="auto"/>
        <w:rPr>
          <w:sz w:val="20"/>
          <w:szCs w:val="20"/>
          <w:color w:val="auto"/>
        </w:rPr>
      </w:pPr>
      <w:r>
        <w:rPr>
          <w:rFonts w:ascii="Arial" w:cs="Arial" w:eastAsia="Arial" w:hAnsi="Arial"/>
          <w:sz w:val="12"/>
          <w:szCs w:val="12"/>
          <w:color w:val="auto"/>
        </w:rPr>
        <w:t>The fair value of the 2017 PIPE Warrants was estimated at $10.8 million as of December 31, 2019, and was zero at December 31, 2020 as the warrants had expired. No warrants were exercised prior to expiration. The $10.8 million decrease and the $6.3 million increase in the fair value of the liability for the 2017 PIPE Warrants during the year ended December 31, 2020 and December 31, 2019, respectively, was recorded as other expense in the consolidated statements of operations.</w:t>
      </w:r>
    </w:p>
    <w:p>
      <w:pPr>
        <w:spacing w:after="0" w:line="122" w:lineRule="exact"/>
        <w:rPr>
          <w:sz w:val="20"/>
          <w:szCs w:val="20"/>
          <w:color w:val="auto"/>
        </w:rPr>
      </w:pPr>
    </w:p>
    <w:p>
      <w:pPr>
        <w:ind w:right="440" w:firstLine="592"/>
        <w:spacing w:after="0" w:line="276" w:lineRule="auto"/>
        <w:rPr>
          <w:sz w:val="20"/>
          <w:szCs w:val="20"/>
          <w:color w:val="auto"/>
        </w:rPr>
      </w:pPr>
      <w:r>
        <w:rPr>
          <w:rFonts w:ascii="Arial" w:cs="Arial" w:eastAsia="Arial" w:hAnsi="Arial"/>
          <w:sz w:val="12"/>
          <w:szCs w:val="12"/>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 as of December 31,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5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720" w:type="dxa"/>
            <w:vAlign w:val="bottom"/>
          </w:tcPr>
          <w:p>
            <w:pPr>
              <w:spacing w:after="0"/>
              <w:rPr>
                <w:sz w:val="13"/>
                <w:szCs w:val="13"/>
                <w:color w:val="auto"/>
              </w:rPr>
            </w:pPr>
          </w:p>
        </w:tc>
      </w:tr>
      <w:tr>
        <w:trPr>
          <w:trHeight w:val="153"/>
        </w:trPr>
        <w:tc>
          <w:tcPr>
            <w:tcW w:w="4220" w:type="dxa"/>
            <w:vAlign w:val="bottom"/>
            <w:gridSpan w:val="2"/>
          </w:tcPr>
          <w:p>
            <w:pPr>
              <w:ind w:left="1680"/>
              <w:spacing w:after="0"/>
              <w:rPr>
                <w:sz w:val="20"/>
                <w:szCs w:val="20"/>
                <w:color w:val="auto"/>
              </w:rPr>
            </w:pPr>
            <w:r>
              <w:rPr>
                <w:rFonts w:ascii="Arial" w:cs="Arial" w:eastAsia="Arial" w:hAnsi="Arial"/>
                <w:sz w:val="12"/>
                <w:szCs w:val="12"/>
                <w:color w:val="auto"/>
              </w:rPr>
              <w:t>Contractual term (years)</w:t>
            </w:r>
          </w:p>
        </w:tc>
        <w:tc>
          <w:tcPr>
            <w:tcW w:w="538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2520" w:type="dxa"/>
            <w:vAlign w:val="bottom"/>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5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r>
      <w:tr>
        <w:trPr>
          <w:trHeight w:val="153"/>
        </w:trPr>
        <w:tc>
          <w:tcPr>
            <w:tcW w:w="4220" w:type="dxa"/>
            <w:vAlign w:val="bottom"/>
            <w:gridSpan w:val="2"/>
          </w:tcPr>
          <w:p>
            <w:pPr>
              <w:ind w:left="1680"/>
              <w:spacing w:after="0"/>
              <w:rPr>
                <w:sz w:val="20"/>
                <w:szCs w:val="20"/>
                <w:color w:val="auto"/>
              </w:rPr>
            </w:pPr>
            <w:r>
              <w:rPr>
                <w:rFonts w:ascii="Arial" w:cs="Arial" w:eastAsia="Arial" w:hAnsi="Arial"/>
                <w:sz w:val="12"/>
                <w:szCs w:val="12"/>
                <w:color w:val="auto"/>
              </w:rPr>
              <w:t>Risk-free rate</w:t>
            </w:r>
          </w:p>
        </w:tc>
        <w:tc>
          <w:tcPr>
            <w:tcW w:w="5380" w:type="dxa"/>
            <w:vAlign w:val="bottom"/>
          </w:tcPr>
          <w:p>
            <w:pPr>
              <w:jc w:val="right"/>
              <w:spacing w:after="0"/>
              <w:rPr>
                <w:sz w:val="20"/>
                <w:szCs w:val="20"/>
                <w:color w:val="auto"/>
              </w:rPr>
            </w:pPr>
            <w:r>
              <w:rPr>
                <w:rFonts w:ascii="Arial" w:cs="Arial" w:eastAsia="Arial" w:hAnsi="Arial"/>
                <w:sz w:val="12"/>
                <w:szCs w:val="12"/>
                <w:color w:val="auto"/>
              </w:rPr>
              <w:t>1.60%</w:t>
            </w:r>
          </w:p>
        </w:tc>
        <w:tc>
          <w:tcPr>
            <w:tcW w:w="1720" w:type="dxa"/>
            <w:vAlign w:val="bottom"/>
          </w:tcPr>
          <w:p>
            <w:pPr>
              <w:spacing w:after="0"/>
              <w:rPr>
                <w:sz w:val="13"/>
                <w:szCs w:val="13"/>
                <w:color w:val="auto"/>
              </w:rPr>
            </w:pPr>
          </w:p>
        </w:tc>
      </w:tr>
      <w:tr>
        <w:trPr>
          <w:trHeight w:val="432"/>
        </w:trPr>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80" w:type="dxa"/>
            <w:vAlign w:val="bottom"/>
          </w:tcPr>
          <w:p>
            <w:pPr>
              <w:jc w:val="right"/>
              <w:ind w:right="3840"/>
              <w:spacing w:after="0"/>
              <w:rPr>
                <w:sz w:val="20"/>
                <w:szCs w:val="20"/>
                <w:color w:val="auto"/>
              </w:rPr>
            </w:pPr>
            <w:r>
              <w:rPr>
                <w:rFonts w:ascii="Arial" w:cs="Arial" w:eastAsia="Arial" w:hAnsi="Arial"/>
                <w:sz w:val="12"/>
                <w:szCs w:val="12"/>
                <w:color w:val="auto"/>
              </w:rPr>
              <w:t>76</w:t>
            </w: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53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37" w:right="27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i w:val="1"/>
          <w:iCs w:val="1"/>
          <w:color w:val="auto"/>
        </w:rPr>
        <w:t>Warrants Issued as Part of the Units in the 2018 PIPE Offering</w:t>
      </w:r>
    </w:p>
    <w:p>
      <w:pPr>
        <w:spacing w:after="0" w:line="78" w:lineRule="exact"/>
        <w:rPr>
          <w:sz w:val="20"/>
          <w:szCs w:val="20"/>
          <w:color w:val="auto"/>
        </w:rPr>
      </w:pPr>
    </w:p>
    <w:p>
      <w:pPr>
        <w:ind w:right="80" w:firstLine="592"/>
        <w:spacing w:after="0" w:line="263" w:lineRule="auto"/>
        <w:rPr>
          <w:sz w:val="20"/>
          <w:szCs w:val="20"/>
          <w:color w:val="auto"/>
        </w:rPr>
      </w:pPr>
      <w:r>
        <w:rPr>
          <w:rFonts w:ascii="Arial" w:cs="Arial" w:eastAsia="Arial" w:hAnsi="Arial"/>
          <w:sz w:val="12"/>
          <w:szCs w:val="12"/>
          <w:color w:val="auto"/>
        </w:rPr>
        <w:t>The 2018 PIPE Warrants were issued on December 19, 2018 in the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122"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$2.00.</w:t>
      </w:r>
    </w:p>
    <w:p>
      <w:pPr>
        <w:spacing w:after="0" w:line="115" w:lineRule="exact"/>
        <w:rPr>
          <w:sz w:val="20"/>
          <w:szCs w:val="20"/>
          <w:color w:val="auto"/>
        </w:rPr>
      </w:pPr>
    </w:p>
    <w:p>
      <w:pPr>
        <w:ind w:right="180" w:firstLine="592"/>
        <w:spacing w:after="0" w:line="276" w:lineRule="auto"/>
        <w:rPr>
          <w:sz w:val="20"/>
          <w:szCs w:val="20"/>
          <w:color w:val="auto"/>
        </w:rPr>
      </w:pPr>
      <w:r>
        <w:rPr>
          <w:rFonts w:ascii="Arial" w:cs="Arial" w:eastAsia="Arial" w:hAnsi="Arial"/>
          <w:sz w:val="12"/>
          <w:szCs w:val="12"/>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5"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As of December 31, 2020, the fair value of the 2018 PIPE Warrants was estimated at $0.5 million. The $0.8 million decrease and $0.8 million increase in the fair value of the liability for the 2018 PIPE Warrants during the years ended December 31, 2020 and December 31, 2019, respectively, was recorded as other income (expense) in the consolidated statements of operations.</w:t>
      </w:r>
    </w:p>
    <w:p>
      <w:pPr>
        <w:spacing w:after="0" w:line="115"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The Company has calculated the fair value of the 2018 PIPE Warrants as of December 31, 2020 using a Black-Scholes pricing model, and the fair value as of December 31, 2019 using a Monte Carlo simulation of a geometric Brownian motion model. The difference in valuation as a result of using the Black-Scholes pricing model compared to the Monte Carlo simulation model is not significant. Both models require the input of highly subjective assumptions including the expected stock price volatility. The following summarizes certain key assumptions used in estimating the fair values.</w:t>
      </w:r>
    </w:p>
    <w:p>
      <w:pPr>
        <w:spacing w:after="0" w:line="110" w:lineRule="exact"/>
        <w:rPr>
          <w:sz w:val="20"/>
          <w:szCs w:val="20"/>
          <w:color w:val="auto"/>
        </w:rPr>
      </w:pPr>
    </w:p>
    <w:tbl>
      <w:tblPr>
        <w:tblLayout w:type="fixed"/>
        <w:tblInd w:w="174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820" w:type="dxa"/>
            <w:vAlign w:val="bottom"/>
          </w:tcPr>
          <w:p>
            <w:pPr>
              <w:jc w:val="center"/>
              <w:ind w:left="172"/>
              <w:spacing w:after="0"/>
              <w:rPr>
                <w:sz w:val="20"/>
                <w:szCs w:val="20"/>
                <w:color w:val="auto"/>
              </w:rPr>
            </w:pPr>
            <w:r>
              <w:rPr>
                <w:rFonts w:ascii="Arial" w:cs="Arial" w:eastAsia="Arial" w:hAnsi="Arial"/>
                <w:sz w:val="10"/>
                <w:szCs w:val="10"/>
                <w:b w:val="1"/>
                <w:bCs w:val="1"/>
                <w:color w:val="auto"/>
                <w:w w:val="86"/>
              </w:rPr>
              <w:t>December 31,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5320" w:type="dxa"/>
            <w:vAlign w:val="bottom"/>
            <w:tcBorders>
              <w:bottom w:val="single" w:sz="8" w:color="CFF0FC"/>
            </w:tcBorders>
          </w:tcPr>
          <w:p>
            <w:pPr>
              <w:spacing w:after="0"/>
              <w:rPr>
                <w:sz w:val="9"/>
                <w:szCs w:val="9"/>
                <w:color w:val="auto"/>
              </w:rPr>
            </w:pPr>
          </w:p>
        </w:tc>
        <w:tc>
          <w:tcPr>
            <w:tcW w:w="820" w:type="dxa"/>
            <w:vAlign w:val="bottom"/>
            <w:tcBorders>
              <w:bottom w:val="single" w:sz="8" w:color="auto"/>
            </w:tcBorders>
          </w:tcPr>
          <w:p>
            <w:pPr>
              <w:jc w:val="right"/>
              <w:ind w:right="152"/>
              <w:spacing w:after="0" w:line="114"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384"/>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r>
      <w:tr>
        <w:trPr>
          <w:trHeight w:val="142"/>
        </w:trPr>
        <w:tc>
          <w:tcPr>
            <w:tcW w:w="6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Volatility</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99%</w:t>
            </w:r>
          </w:p>
        </w:tc>
      </w:tr>
      <w:tr>
        <w:trPr>
          <w:trHeight w:val="153"/>
        </w:trPr>
        <w:tc>
          <w:tcPr>
            <w:tcW w:w="6140" w:type="dxa"/>
            <w:vAlign w:val="bottom"/>
            <w:gridSpan w:val="2"/>
          </w:tcPr>
          <w:p>
            <w:pPr>
              <w:spacing w:after="0"/>
              <w:rPr>
                <w:sz w:val="20"/>
                <w:szCs w:val="20"/>
                <w:color w:val="auto"/>
              </w:rPr>
            </w:pPr>
            <w:r>
              <w:rPr>
                <w:rFonts w:ascii="Arial" w:cs="Arial" w:eastAsia="Arial" w:hAnsi="Arial"/>
                <w:sz w:val="12"/>
                <w:szCs w:val="12"/>
                <w:color w:val="auto"/>
              </w:rPr>
              <w:t>Contractual term (years)</w:t>
            </w:r>
          </w:p>
        </w:tc>
        <w:tc>
          <w:tcPr>
            <w:tcW w:w="240" w:type="dxa"/>
            <w:vAlign w:val="bottom"/>
          </w:tcPr>
          <w:p>
            <w:pPr>
              <w:jc w:val="right"/>
              <w:spacing w:after="0"/>
              <w:rPr>
                <w:sz w:val="20"/>
                <w:szCs w:val="20"/>
                <w:color w:val="auto"/>
              </w:rPr>
            </w:pPr>
            <w:r>
              <w:rPr>
                <w:rFonts w:ascii="Arial" w:cs="Arial" w:eastAsia="Arial" w:hAnsi="Arial"/>
                <w:sz w:val="12"/>
                <w:szCs w:val="12"/>
                <w:color w:val="auto"/>
              </w:rPr>
              <w:t>3.0</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3"/>
                <w:szCs w:val="13"/>
                <w:color w:val="auto"/>
              </w:rPr>
            </w:pPr>
          </w:p>
        </w:tc>
      </w:tr>
      <w:tr>
        <w:trPr>
          <w:trHeight w:val="153"/>
        </w:trPr>
        <w:tc>
          <w:tcPr>
            <w:tcW w:w="61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6140" w:type="dxa"/>
            <w:vAlign w:val="bottom"/>
            <w:gridSpan w:val="2"/>
          </w:tcPr>
          <w:p>
            <w:pPr>
              <w:spacing w:after="0"/>
              <w:rPr>
                <w:sz w:val="20"/>
                <w:szCs w:val="20"/>
                <w:color w:val="auto"/>
              </w:rPr>
            </w:pPr>
            <w:r>
              <w:rPr>
                <w:rFonts w:ascii="Arial" w:cs="Arial" w:eastAsia="Arial" w:hAnsi="Arial"/>
                <w:sz w:val="12"/>
                <w:szCs w:val="12"/>
                <w:color w:val="auto"/>
              </w:rPr>
              <w:t>Risk-free rate</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0.17%</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1.56%</w:t>
            </w:r>
          </w:p>
        </w:tc>
      </w:tr>
    </w:tbl>
    <w:p>
      <w:pPr>
        <w:spacing w:after="0" w:line="135" w:lineRule="exact"/>
        <w:rPr>
          <w:sz w:val="20"/>
          <w:szCs w:val="20"/>
          <w:color w:val="auto"/>
        </w:rPr>
      </w:pPr>
    </w:p>
    <w:p>
      <w:pPr>
        <w:ind w:right="500" w:firstLine="592"/>
        <w:spacing w:after="0" w:line="276" w:lineRule="auto"/>
        <w:rPr>
          <w:sz w:val="20"/>
          <w:szCs w:val="20"/>
          <w:color w:val="auto"/>
        </w:rPr>
      </w:pPr>
      <w:r>
        <w:rPr>
          <w:rFonts w:ascii="Arial" w:cs="Arial" w:eastAsia="Arial" w:hAnsi="Arial"/>
          <w:sz w:val="12"/>
          <w:szCs w:val="12"/>
          <w:color w:val="auto"/>
        </w:rPr>
        <w:t>The Black-Scholes pricing model and the Monte Carlo simulation of a geometric Brownian motion model require the use of highly subjective assumptions to estimate the fair value of stock-based awards. These assumptions include the following estimates.</w:t>
      </w:r>
    </w:p>
    <w:p>
      <w:pPr>
        <w:spacing w:after="0" w:line="43" w:lineRule="exact"/>
        <w:rPr>
          <w:sz w:val="20"/>
          <w:szCs w:val="20"/>
          <w:color w:val="auto"/>
        </w:rPr>
      </w:pPr>
    </w:p>
    <w:p>
      <w:pPr>
        <w:ind w:left="1020" w:hanging="443"/>
        <w:spacing w:after="0"/>
        <w:tabs>
          <w:tab w:leader="none" w:pos="102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Volatility: </w:t>
      </w:r>
      <w:r>
        <w:rPr>
          <w:rFonts w:ascii="Arial" w:cs="Arial" w:eastAsia="Arial" w:hAnsi="Arial"/>
          <w:sz w:val="12"/>
          <w:szCs w:val="12"/>
          <w:color w:val="auto"/>
        </w:rPr>
        <w:t>The Company calculates the estimated volatility rate based on the volatilities of common stock of comparable companies in its industry together with the volatility of its own stock.</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Contractual term: </w:t>
      </w:r>
      <w:r>
        <w:rPr>
          <w:rFonts w:ascii="Arial" w:cs="Arial" w:eastAsia="Arial" w:hAnsi="Arial"/>
          <w:sz w:val="12"/>
          <w:szCs w:val="12"/>
          <w:color w:val="auto"/>
        </w:rPr>
        <w:t>The expected life of the warrants, which is based on the contractual term of the warrants.</w:t>
      </w:r>
    </w:p>
    <w:p>
      <w:pPr>
        <w:spacing w:after="0" w:line="96" w:lineRule="exact"/>
        <w:rPr>
          <w:rFonts w:ascii="Arial" w:cs="Arial" w:eastAsia="Arial" w:hAnsi="Arial"/>
          <w:sz w:val="12"/>
          <w:szCs w:val="12"/>
          <w:color w:val="auto"/>
        </w:rPr>
      </w:pPr>
    </w:p>
    <w:p>
      <w:pPr>
        <w:ind w:left="1020" w:right="180" w:hanging="443"/>
        <w:spacing w:after="0" w:line="276" w:lineRule="auto"/>
        <w:tabs>
          <w:tab w:leader="none" w:pos="102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The Company has never declared or paid any cash dividends and does not currently plan to pay cash dividends in the foreseeable future. Consequently, the Company used an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yield of zero.</w:t>
      </w:r>
    </w:p>
    <w:p>
      <w:pPr>
        <w:spacing w:after="0" w:line="42" w:lineRule="exact"/>
        <w:rPr>
          <w:rFonts w:ascii="Arial" w:cs="Arial" w:eastAsia="Arial" w:hAnsi="Arial"/>
          <w:sz w:val="12"/>
          <w:szCs w:val="12"/>
          <w:color w:val="auto"/>
        </w:rPr>
      </w:pPr>
    </w:p>
    <w:p>
      <w:pPr>
        <w:ind w:left="1020" w:hanging="443"/>
        <w:spacing w:after="0"/>
        <w:tabs>
          <w:tab w:leader="none" w:pos="102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 xml:space="preserve">Risk-free rate: </w:t>
      </w:r>
      <w:r>
        <w:rPr>
          <w:rFonts w:ascii="Arial" w:cs="Arial" w:eastAsia="Arial" w:hAnsi="Arial"/>
          <w:sz w:val="12"/>
          <w:szCs w:val="12"/>
          <w:color w:val="auto"/>
        </w:rPr>
        <w:t>The risk-free interest rate is based on the U.S. Treasury rate for similar periods as those of expected volatility.</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Leases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78" w:lineRule="exact"/>
        <w:rPr>
          <w:sz w:val="20"/>
          <w:szCs w:val="20"/>
          <w:color w:val="auto"/>
        </w:rPr>
      </w:pPr>
    </w:p>
    <w:p>
      <w:pPr>
        <w:jc w:val="center"/>
        <w:ind w:right="-239"/>
        <w:spacing w:after="0"/>
        <w:rPr>
          <w:sz w:val="20"/>
          <w:szCs w:val="20"/>
          <w:color w:val="auto"/>
        </w:rPr>
      </w:pPr>
      <w:r>
        <w:rPr>
          <w:rFonts w:ascii="Arial" w:cs="Arial" w:eastAsia="Arial" w:hAnsi="Arial"/>
          <w:sz w:val="11"/>
          <w:szCs w:val="11"/>
          <w:color w:val="auto"/>
        </w:rPr>
        <w:t>The Company’s previous operating lease for its headquarters facility office space in Redwood City, California, terminated in August 2019, along with the related subleases. One of the subleases was with Capnia, of</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80"/>
          </w:cols>
          <w:pgMar w:left="300" w:top="347" w:right="41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which the Company was a joint owner until September 2019. See note 9 for further information. Sublease income received from Capnia during the year ended December 31, 2019 was approximately $65,000.</w:t>
      </w:r>
    </w:p>
    <w:p>
      <w:pPr>
        <w:spacing w:after="0" w:line="78"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lease as an operating lease for the office space and a finance lease for the office furniture, based on their relative standalone prices.</w:t>
      </w:r>
    </w:p>
    <w:p>
      <w:pPr>
        <w:spacing w:after="0" w:line="52" w:lineRule="exact"/>
        <w:rPr>
          <w:sz w:val="20"/>
          <w:szCs w:val="20"/>
          <w:color w:val="auto"/>
        </w:rPr>
      </w:pPr>
    </w:p>
    <w:p>
      <w:pPr>
        <w:ind w:right="100" w:firstLine="592"/>
        <w:spacing w:after="0" w:line="259" w:lineRule="auto"/>
        <w:rPr>
          <w:sz w:val="20"/>
          <w:szCs w:val="20"/>
          <w:color w:val="auto"/>
        </w:rPr>
      </w:pPr>
      <w:r>
        <w:rPr>
          <w:rFonts w:ascii="Arial" w:cs="Arial" w:eastAsia="Arial" w:hAnsi="Arial"/>
          <w:sz w:val="12"/>
          <w:szCs w:val="12"/>
          <w:color w:val="auto"/>
        </w:rPr>
        <w:t>The Company’s operating lease ROU assets, finance ROU assets, and current operating lease liabilities each appear as a separate line within the Company’s consolidated balance sheet. The Company’s current finance lease liabilities were approximately $8,000 and $17,000 as of December 31, 2020 and December 31, 2019, respectively, and are included in other current liabilities on the consolidated balance sheet. As of December 31, 2020 and December 31, 2019, the Company’s long-term operating lease liabilities were zero and $0.1 million, respectively, and the long-term finance lease liabilities were zero and approximately $8,000, respectively. Both the long-term operating lease liabilities and long-term finance lease liabilities are included in other long-term liabilities on the consolidated balance sheet.</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components of lease expense were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7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60" w:type="dxa"/>
            <w:vAlign w:val="bottom"/>
            <w:gridSpan w:val="3"/>
          </w:tcPr>
          <w:p>
            <w:pPr>
              <w:jc w:val="center"/>
              <w:ind w:right="700"/>
              <w:spacing w:after="0" w:line="83" w:lineRule="exact"/>
              <w:rPr>
                <w:sz w:val="20"/>
                <w:szCs w:val="20"/>
                <w:color w:val="auto"/>
              </w:rPr>
            </w:pPr>
            <w:r>
              <w:rPr>
                <w:rFonts w:ascii="Arial" w:cs="Arial" w:eastAsia="Arial" w:hAnsi="Arial"/>
                <w:sz w:val="8"/>
                <w:szCs w:val="8"/>
                <w:b w:val="1"/>
                <w:bCs w:val="1"/>
                <w:color w:val="auto"/>
              </w:rPr>
              <w:t>December 31,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jc w:val="right"/>
              <w:ind w:right="234"/>
              <w:spacing w:after="0" w:line="83" w:lineRule="exact"/>
              <w:rPr>
                <w:sz w:val="20"/>
                <w:szCs w:val="20"/>
                <w:color w:val="auto"/>
              </w:rPr>
            </w:pPr>
            <w:r>
              <w:rPr>
                <w:rFonts w:ascii="Arial" w:cs="Arial" w:eastAsia="Arial" w:hAnsi="Arial"/>
                <w:sz w:val="8"/>
                <w:szCs w:val="8"/>
                <w:b w:val="1"/>
                <w:bCs w:val="1"/>
                <w:color w:val="auto"/>
              </w:rPr>
              <w:t>December 31,</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3"/>
        </w:trPr>
        <w:tc>
          <w:tcPr>
            <w:tcW w:w="746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104"/>
              <w:spacing w:after="0" w:line="114" w:lineRule="exact"/>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14"/>
              <w:spacing w:after="0" w:line="114" w:lineRule="exact"/>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r>
      <w:tr>
        <w:trPr>
          <w:trHeight w:val="142"/>
        </w:trPr>
        <w:tc>
          <w:tcPr>
            <w:tcW w:w="746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7460" w:type="dxa"/>
            <w:vAlign w:val="bottom"/>
          </w:tcPr>
          <w:p>
            <w:pPr>
              <w:ind w:left="160"/>
              <w:spacing w:after="0"/>
              <w:rPr>
                <w:sz w:val="20"/>
                <w:szCs w:val="20"/>
                <w:color w:val="auto"/>
              </w:rPr>
            </w:pPr>
            <w:r>
              <w:rPr>
                <w:rFonts w:ascii="Arial" w:cs="Arial" w:eastAsia="Arial" w:hAnsi="Arial"/>
                <w:sz w:val="12"/>
                <w:szCs w:val="12"/>
                <w:color w:val="auto"/>
              </w:rPr>
              <w:t>Operating lease cost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305</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418</w:t>
            </w:r>
          </w:p>
        </w:tc>
        <w:tc>
          <w:tcPr>
            <w:tcW w:w="120" w:type="dxa"/>
            <w:vAlign w:val="bottom"/>
          </w:tcPr>
          <w:p>
            <w:pPr>
              <w:spacing w:after="0"/>
              <w:rPr>
                <w:sz w:val="13"/>
                <w:szCs w:val="13"/>
                <w:color w:val="auto"/>
              </w:rPr>
            </w:pPr>
          </w:p>
        </w:tc>
      </w:tr>
      <w:tr>
        <w:trPr>
          <w:trHeight w:val="153"/>
        </w:trPr>
        <w:tc>
          <w:tcPr>
            <w:tcW w:w="7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Sublease income</w:t>
            </w: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(173)</w:t>
            </w:r>
          </w:p>
        </w:tc>
      </w:tr>
      <w:tr>
        <w:trPr>
          <w:trHeight w:val="149"/>
        </w:trPr>
        <w:tc>
          <w:tcPr>
            <w:tcW w:w="7460" w:type="dxa"/>
            <w:vAlign w:val="bottom"/>
          </w:tcPr>
          <w:p>
            <w:pPr>
              <w:spacing w:after="0"/>
              <w:rPr>
                <w:sz w:val="20"/>
                <w:szCs w:val="20"/>
                <w:color w:val="auto"/>
              </w:rPr>
            </w:pPr>
            <w:r>
              <w:rPr>
                <w:rFonts w:ascii="Arial" w:cs="Arial" w:eastAsia="Arial" w:hAnsi="Arial"/>
                <w:sz w:val="12"/>
                <w:szCs w:val="12"/>
                <w:color w:val="auto"/>
              </w:rPr>
              <w:t>Total operating lease cost</w:t>
            </w: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305</w:t>
            </w:r>
          </w:p>
        </w:tc>
        <w:tc>
          <w:tcPr>
            <w:tcW w:w="4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245</w:t>
            </w:r>
          </w:p>
        </w:tc>
        <w:tc>
          <w:tcPr>
            <w:tcW w:w="120" w:type="dxa"/>
            <w:vAlign w:val="bottom"/>
          </w:tcPr>
          <w:p>
            <w:pPr>
              <w:spacing w:after="0"/>
              <w:rPr>
                <w:sz w:val="12"/>
                <w:szCs w:val="12"/>
                <w:color w:val="auto"/>
              </w:rPr>
            </w:pPr>
          </w:p>
        </w:tc>
      </w:tr>
      <w:tr>
        <w:trPr>
          <w:trHeight w:val="153"/>
        </w:trPr>
        <w:tc>
          <w:tcPr>
            <w:tcW w:w="7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460" w:type="dxa"/>
            <w:vAlign w:val="bottom"/>
            <w:shd w:val="clear" w:color="auto" w:fill="CFF0FC"/>
          </w:tcPr>
          <w:p>
            <w:pPr>
              <w:spacing w:after="0"/>
              <w:rPr>
                <w:sz w:val="20"/>
                <w:szCs w:val="20"/>
                <w:color w:val="auto"/>
              </w:rPr>
            </w:pPr>
            <w:r>
              <w:rPr>
                <w:rFonts w:ascii="Arial" w:cs="Arial" w:eastAsia="Arial" w:hAnsi="Arial"/>
                <w:sz w:val="12"/>
                <w:szCs w:val="12"/>
                <w:color w:val="auto"/>
              </w:rPr>
              <w:t>Finance lease cost:</w:t>
            </w: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460" w:type="dxa"/>
            <w:vAlign w:val="bottom"/>
          </w:tcPr>
          <w:p>
            <w:pPr>
              <w:ind w:left="160"/>
              <w:spacing w:after="0"/>
              <w:rPr>
                <w:sz w:val="20"/>
                <w:szCs w:val="20"/>
                <w:color w:val="auto"/>
              </w:rPr>
            </w:pPr>
            <w:r>
              <w:rPr>
                <w:rFonts w:ascii="Arial" w:cs="Arial" w:eastAsia="Arial" w:hAnsi="Arial"/>
                <w:sz w:val="12"/>
                <w:szCs w:val="12"/>
                <w:color w:val="auto"/>
              </w:rPr>
              <w:t>Amortization of right-of-use assets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r>
      <w:tr>
        <w:trPr>
          <w:trHeight w:val="153"/>
        </w:trPr>
        <w:tc>
          <w:tcPr>
            <w:tcW w:w="7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on lease liabilities</w:t>
            </w:r>
          </w:p>
        </w:tc>
        <w:tc>
          <w:tcPr>
            <w:tcW w:w="3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40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FF0FC"/>
          </w:tcPr>
          <w:p>
            <w:pPr>
              <w:spacing w:after="0"/>
              <w:rPr>
                <w:sz w:val="13"/>
                <w:szCs w:val="13"/>
                <w:color w:val="auto"/>
              </w:rPr>
            </w:pPr>
          </w:p>
        </w:tc>
      </w:tr>
      <w:tr>
        <w:trPr>
          <w:trHeight w:val="149"/>
        </w:trPr>
        <w:tc>
          <w:tcPr>
            <w:tcW w:w="7460" w:type="dxa"/>
            <w:vAlign w:val="bottom"/>
          </w:tcPr>
          <w:p>
            <w:pPr>
              <w:spacing w:after="0"/>
              <w:rPr>
                <w:sz w:val="20"/>
                <w:szCs w:val="20"/>
                <w:color w:val="auto"/>
              </w:rPr>
            </w:pPr>
            <w:r>
              <w:rPr>
                <w:rFonts w:ascii="Arial" w:cs="Arial" w:eastAsia="Arial" w:hAnsi="Arial"/>
                <w:sz w:val="12"/>
                <w:szCs w:val="12"/>
                <w:color w:val="auto"/>
              </w:rPr>
              <w:t>Total finance lease cost</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r>
      <w:tr>
        <w:trPr>
          <w:trHeight w:val="576"/>
        </w:trPr>
        <w:tc>
          <w:tcPr>
            <w:tcW w:w="7460" w:type="dxa"/>
            <w:vAlign w:val="bottom"/>
          </w:tcPr>
          <w:p>
            <w:pPr>
              <w:ind w:left="580"/>
              <w:spacing w:after="0"/>
              <w:rPr>
                <w:sz w:val="20"/>
                <w:szCs w:val="20"/>
                <w:color w:val="auto"/>
              </w:rPr>
            </w:pPr>
            <w:r>
              <w:rPr>
                <w:rFonts w:ascii="Arial" w:cs="Arial" w:eastAsia="Arial" w:hAnsi="Arial"/>
                <w:sz w:val="12"/>
                <w:szCs w:val="12"/>
                <w:color w:val="auto"/>
              </w:rPr>
              <w:t>Supplemental cash flow information related to leases was as follows (in thousands):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0"/>
                <w:szCs w:val="10"/>
                <w:b w:val="1"/>
                <w:bCs w:val="1"/>
                <w:color w:val="auto"/>
                <w:w w:val="90"/>
              </w:rPr>
              <w:t>Year Ended</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83"/>
        </w:trPr>
        <w:tc>
          <w:tcPr>
            <w:tcW w:w="7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gridSpan w:val="2"/>
          </w:tcPr>
          <w:p>
            <w:pPr>
              <w:jc w:val="center"/>
              <w:ind w:left="130"/>
              <w:spacing w:after="0" w:line="83" w:lineRule="exact"/>
              <w:rPr>
                <w:sz w:val="20"/>
                <w:szCs w:val="20"/>
                <w:color w:val="auto"/>
              </w:rPr>
            </w:pPr>
            <w:r>
              <w:rPr>
                <w:rFonts w:ascii="Arial" w:cs="Arial" w:eastAsia="Arial" w:hAnsi="Arial"/>
                <w:sz w:val="8"/>
                <w:szCs w:val="8"/>
                <w:b w:val="1"/>
                <w:bCs w:val="1"/>
                <w:color w:val="auto"/>
              </w:rPr>
              <w:t>December 31,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December 31,</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3"/>
        </w:trPr>
        <w:tc>
          <w:tcPr>
            <w:tcW w:w="7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gridSpan w:val="3"/>
          </w:tcPr>
          <w:p>
            <w:pPr>
              <w:jc w:val="right"/>
              <w:ind w:right="300"/>
              <w:spacing w:after="0" w:line="114"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jc w:val="right"/>
              <w:ind w:right="174"/>
              <w:spacing w:after="0" w:line="114" w:lineRule="exact"/>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Right-of use assets obtained in exchange for lease obligations (noncash):</w:t>
            </w:r>
          </w:p>
        </w:tc>
        <w:tc>
          <w:tcPr>
            <w:tcW w:w="30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7460" w:type="dxa"/>
            <w:vAlign w:val="bottom"/>
          </w:tcPr>
          <w:p>
            <w:pPr>
              <w:ind w:left="160"/>
              <w:spacing w:after="0"/>
              <w:rPr>
                <w:sz w:val="20"/>
                <w:szCs w:val="20"/>
                <w:color w:val="auto"/>
              </w:rPr>
            </w:pPr>
            <w:r>
              <w:rPr>
                <w:rFonts w:ascii="Arial" w:cs="Arial" w:eastAsia="Arial" w:hAnsi="Arial"/>
                <w:sz w:val="12"/>
                <w:szCs w:val="12"/>
                <w:color w:val="auto"/>
              </w:rPr>
              <w:t>Operating leases</w:t>
            </w:r>
          </w:p>
        </w:tc>
        <w:tc>
          <w:tcPr>
            <w:tcW w:w="300" w:type="dxa"/>
            <w:vAlign w:val="bottom"/>
          </w:tcPr>
          <w:p>
            <w:pPr>
              <w:spacing w:after="0"/>
              <w:rPr>
                <w:sz w:val="13"/>
                <w:szCs w:val="13"/>
                <w:color w:val="auto"/>
              </w:rPr>
            </w:pPr>
          </w:p>
        </w:tc>
        <w:tc>
          <w:tcPr>
            <w:tcW w:w="1360" w:type="dxa"/>
            <w:vAlign w:val="bottom"/>
            <w:gridSpan w:val="2"/>
          </w:tcPr>
          <w:p>
            <w:pPr>
              <w:jc w:val="right"/>
              <w:ind w:right="47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794"/>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484</w:t>
            </w:r>
          </w:p>
        </w:tc>
        <w:tc>
          <w:tcPr>
            <w:tcW w:w="120" w:type="dxa"/>
            <w:vAlign w:val="bottom"/>
          </w:tcPr>
          <w:p>
            <w:pPr>
              <w:spacing w:after="0"/>
              <w:rPr>
                <w:sz w:val="13"/>
                <w:szCs w:val="13"/>
                <w:color w:val="auto"/>
              </w:rPr>
            </w:pPr>
          </w:p>
        </w:tc>
      </w:tr>
      <w:tr>
        <w:trPr>
          <w:trHeight w:val="153"/>
        </w:trPr>
        <w:tc>
          <w:tcPr>
            <w:tcW w:w="7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Finance leases</w:t>
            </w:r>
          </w:p>
        </w:tc>
        <w:tc>
          <w:tcPr>
            <w:tcW w:w="30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47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ind w:right="794"/>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FF0FC"/>
          </w:tcPr>
          <w:p>
            <w:pPr>
              <w:spacing w:after="0"/>
              <w:rPr>
                <w:sz w:val="13"/>
                <w:szCs w:val="13"/>
                <w:color w:val="auto"/>
              </w:rPr>
            </w:pPr>
          </w:p>
        </w:tc>
      </w:tr>
    </w:tbl>
    <w:p>
      <w:pPr>
        <w:spacing w:after="0" w:line="207"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is a schedule by year of future maturities of the Company’s lease liabilities as of December 31, 2020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80" w:type="dxa"/>
            <w:vAlign w:val="bottom"/>
            <w:tcBorders>
              <w:bottom w:val="single" w:sz="8" w:color="CFF0FC"/>
            </w:tcBorders>
          </w:tcPr>
          <w:p>
            <w:pPr>
              <w:spacing w:after="0"/>
              <w:rPr>
                <w:sz w:val="10"/>
                <w:szCs w:val="10"/>
                <w:color w:val="auto"/>
              </w:rPr>
            </w:pPr>
          </w:p>
        </w:tc>
        <w:tc>
          <w:tcPr>
            <w:tcW w:w="3740" w:type="dxa"/>
            <w:vAlign w:val="bottom"/>
            <w:tcBorders>
              <w:bottom w:val="single" w:sz="8" w:color="CFF0FC"/>
            </w:tcBorders>
          </w:tcPr>
          <w:p>
            <w:pPr>
              <w:spacing w:after="0"/>
              <w:rPr>
                <w:sz w:val="10"/>
                <w:szCs w:val="10"/>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Operating Lease</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Finance Lease</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5200" w:type="dxa"/>
            <w:vAlign w:val="bottom"/>
            <w:gridSpan w:val="2"/>
            <w:shd w:val="clear" w:color="auto" w:fill="CFF0FC"/>
          </w:tcPr>
          <w:p>
            <w:pPr>
              <w:jc w:val="right"/>
              <w:ind w:right="1352"/>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2"/>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ind w:left="160"/>
              <w:spacing w:after="0"/>
              <w:rPr>
                <w:sz w:val="20"/>
                <w:szCs w:val="20"/>
                <w:color w:val="auto"/>
              </w:rPr>
            </w:pPr>
            <w:r>
              <w:rPr>
                <w:rFonts w:ascii="Arial" w:cs="Arial" w:eastAsia="Arial" w:hAnsi="Arial"/>
                <w:sz w:val="12"/>
                <w:szCs w:val="12"/>
                <w:color w:val="auto"/>
              </w:rPr>
              <w:t>Total lease payments</w:t>
            </w:r>
          </w:p>
        </w:tc>
        <w:tc>
          <w:tcPr>
            <w:tcW w:w="37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Less interest</w:t>
            </w:r>
          </w:p>
        </w:tc>
        <w:tc>
          <w:tcPr>
            <w:tcW w:w="37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160"/>
              <w:spacing w:after="0"/>
              <w:rPr>
                <w:sz w:val="20"/>
                <w:szCs w:val="20"/>
                <w:color w:val="auto"/>
              </w:rPr>
            </w:pPr>
            <w:r>
              <w:rPr>
                <w:rFonts w:ascii="Arial" w:cs="Arial" w:eastAsia="Arial" w:hAnsi="Arial"/>
                <w:sz w:val="12"/>
                <w:szCs w:val="12"/>
                <w:color w:val="auto"/>
              </w:rPr>
              <w:t>Total</w:t>
            </w:r>
          </w:p>
        </w:tc>
        <w:tc>
          <w:tcPr>
            <w:tcW w:w="3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80" w:type="dxa"/>
            <w:vAlign w:val="bottom"/>
            <w:vMerge w:val="continue"/>
          </w:tcPr>
          <w:p>
            <w:pPr>
              <w:spacing w:after="0"/>
              <w:rPr>
                <w:sz w:val="12"/>
                <w:szCs w:val="12"/>
                <w:color w:val="auto"/>
              </w:rPr>
            </w:pPr>
          </w:p>
        </w:tc>
        <w:tc>
          <w:tcPr>
            <w:tcW w:w="5200" w:type="dxa"/>
            <w:vAlign w:val="bottom"/>
            <w:gridSpan w:val="2"/>
          </w:tcPr>
          <w:p>
            <w:pPr>
              <w:jc w:val="right"/>
              <w:ind w:right="1352"/>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380" w:type="dxa"/>
            <w:vAlign w:val="bottom"/>
          </w:tcPr>
          <w:p>
            <w:pPr>
              <w:spacing w:after="0"/>
              <w:rPr>
                <w:sz w:val="24"/>
                <w:szCs w:val="24"/>
                <w:color w:val="auto"/>
              </w:rPr>
            </w:pPr>
          </w:p>
        </w:tc>
        <w:tc>
          <w:tcPr>
            <w:tcW w:w="3740" w:type="dxa"/>
            <w:vAlign w:val="bottom"/>
          </w:tcPr>
          <w:p>
            <w:pPr>
              <w:jc w:val="right"/>
              <w:ind w:right="1360"/>
              <w:spacing w:after="0"/>
              <w:rPr>
                <w:sz w:val="20"/>
                <w:szCs w:val="20"/>
                <w:color w:val="auto"/>
              </w:rPr>
            </w:pPr>
            <w:r>
              <w:rPr>
                <w:rFonts w:ascii="Arial" w:cs="Arial" w:eastAsia="Arial" w:hAnsi="Arial"/>
                <w:sz w:val="12"/>
                <w:szCs w:val="12"/>
                <w:color w:val="auto"/>
              </w:rPr>
              <w:t>78</w:t>
            </w:r>
          </w:p>
        </w:tc>
        <w:tc>
          <w:tcPr>
            <w:tcW w:w="1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380" w:type="dxa"/>
            <w:vAlign w:val="bottom"/>
            <w:tcBorders>
              <w:bottom w:val="single" w:sz="8" w:color="9A9A9A"/>
            </w:tcBorders>
          </w:tcPr>
          <w:p>
            <w:pPr>
              <w:spacing w:after="0"/>
              <w:rPr>
                <w:sz w:val="6"/>
                <w:szCs w:val="6"/>
                <w:color w:val="auto"/>
              </w:rPr>
            </w:pPr>
          </w:p>
        </w:tc>
        <w:tc>
          <w:tcPr>
            <w:tcW w:w="37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47" w:right="279" w:bottom="1440" w:gutter="0" w:footer="0" w:header="0"/>
        </w:sectPr>
      </w:pPr>
    </w:p>
    <w:bookmarkStart w:id="80" w:name="page81"/>
    <w:bookmarkEnd w:id="80"/>
    <w:p>
      <w:pPr>
        <w:ind w:right="40" w:firstLine="592"/>
        <w:spacing w:after="0" w:line="259" w:lineRule="auto"/>
        <w:rPr>
          <w:sz w:val="20"/>
          <w:szCs w:val="20"/>
          <w:color w:val="auto"/>
        </w:rPr>
      </w:pPr>
      <w:r>
        <w:rPr>
          <w:rFonts w:ascii="Arial" w:cs="Arial" w:eastAsia="Arial" w:hAnsi="Arial"/>
          <w:sz w:val="12"/>
          <w:szCs w:val="12"/>
          <w:color w:val="auto"/>
        </w:rPr>
        <w:t>The weighted-average remaining lease term was 0.4 and 1.4 years as of December 31, 2020 and December 31, 2019, respectively, for both the operating leases and finance leases. The weighted average discount rate related to the Company’s lease liabilities was 10% as of December 31, 2020 and December 31, 2019 for both the operating leases and finance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Commitments and Contingencies</w:t>
      </w:r>
    </w:p>
    <w:p>
      <w:pPr>
        <w:spacing w:after="0" w:line="82" w:lineRule="exact"/>
        <w:rPr>
          <w:sz w:val="20"/>
          <w:szCs w:val="20"/>
          <w:color w:val="auto"/>
        </w:rPr>
      </w:pPr>
    </w:p>
    <w:p>
      <w:pPr>
        <w:jc w:val="both"/>
        <w:ind w:right="80" w:firstLine="592"/>
        <w:spacing w:after="0" w:line="263" w:lineRule="auto"/>
        <w:rPr>
          <w:sz w:val="20"/>
          <w:szCs w:val="20"/>
          <w:color w:val="auto"/>
        </w:rPr>
      </w:pPr>
      <w:r>
        <w:rPr>
          <w:rFonts w:ascii="Arial" w:cs="Arial" w:eastAsia="Arial" w:hAnsi="Arial"/>
          <w:sz w:val="12"/>
          <w:szCs w:val="12"/>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CoSense Joint Venture Agreement</w:t>
      </w:r>
    </w:p>
    <w:p>
      <w:pPr>
        <w:spacing w:after="0" w:line="154" w:lineRule="exact"/>
        <w:rPr>
          <w:sz w:val="20"/>
          <w:szCs w:val="20"/>
          <w:color w:val="auto"/>
        </w:rPr>
      </w:pPr>
    </w:p>
    <w:p>
      <w:pPr>
        <w:ind w:firstLine="592"/>
        <w:spacing w:after="0" w:line="255" w:lineRule="auto"/>
        <w:rPr>
          <w:sz w:val="20"/>
          <w:szCs w:val="20"/>
          <w:color w:val="auto"/>
        </w:rPr>
      </w:pPr>
      <w:r>
        <w:rPr>
          <w:rFonts w:ascii="Arial" w:cs="Arial" w:eastAsia="Arial" w:hAnsi="Arial"/>
          <w:sz w:val="12"/>
          <w:szCs w:val="12"/>
          <w:color w:val="auto"/>
        </w:rPr>
        <w:t>In December 2017, the Company entered into a joint venture with OptAsia Healthcare Limited (OAHL), with respect to its CoSense product by agreeing to sell shares of Capnia, its then wholly-owned subsidiary, to OAHL. CoSense was based on the Company’s Sensalyze Technology Platform and received 510(k) clearances from the FDA and CE Mark certification in the E.U. The Company’s entry into the joint venture resulted from a comprehensive review of strategic alternatives for its legacy products and product candidates following its transition to a primarily therapeutic drug product company. The terms of the Joint Venture Agreement provide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28" w:lineRule="exact"/>
        <w:rPr>
          <w:sz w:val="20"/>
          <w:szCs w:val="20"/>
          <w:color w:val="auto"/>
        </w:rPr>
      </w:pPr>
    </w:p>
    <w:p>
      <w:pPr>
        <w:ind w:right="20" w:firstLine="592"/>
        <w:spacing w:after="0" w:line="278" w:lineRule="auto"/>
        <w:rPr>
          <w:sz w:val="20"/>
          <w:szCs w:val="20"/>
          <w:color w:val="auto"/>
        </w:rPr>
      </w:pPr>
      <w:r>
        <w:rPr>
          <w:rFonts w:ascii="Arial" w:cs="Arial" w:eastAsia="Arial" w:hAnsi="Arial"/>
          <w:sz w:val="11"/>
          <w:szCs w:val="11"/>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from those of the Company and a $2.0 million gain was recognized in the fourth quarter of 2018 as a result of the deconsolidation. Of this amount, $1.2 million related to the remeasurement of the Company’s retained interest in the joint venture to fair value which was measured based on the negotiated price of $1.00 per share for Soleno’s remaining ownership of 1,480,000 shares less a 23% discount for lack of control over Capnia. The total gain was included in other income from continuing operations on the Company’s consolidated statements of operations. The remaining 47% investment in Capnia was classified as an equity method investment and presented as a Minority interest investment in former subsidiary in the consolidated balance sheet. During September 2019, the Company sold its remaining 47% investment in Capnia to Sinon for a total purchase price of $0.5 million. As of the sale date, the Company had a minority interest investment in former subsidiary balance of $0.5 million, after recording $0.5 million for its share of Capnia’s losses during 2019 up until the date of sale, which is included in the line titled “Loss from minority interest investment” in the Company’s consolidated statements of operations. A gain of approximately $33,000 was recognized upon the sale and is presented, together with the Company’s share of Capnia’s net losses during the period, in the consolidated statements of operations in the line titled “Loss from minority interest investment”. Following the transaction, the Company has no interest remaining in Capnia and the previous joint venture agreement with OAHL has been terminated.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color w:val="auto"/>
        </w:rPr>
        <w:t>Note 10. Stockholders’ Equity</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Convertible Preferred Stock</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is authorized to issue 10,000,000 shares of Preferred Stock.</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Common Stock</w:t>
      </w:r>
    </w:p>
    <w:p>
      <w:pPr>
        <w:spacing w:after="0" w:line="150" w:lineRule="exact"/>
        <w:rPr>
          <w:sz w:val="20"/>
          <w:szCs w:val="20"/>
          <w:color w:val="auto"/>
        </w:rPr>
      </w:pPr>
    </w:p>
    <w:p>
      <w:pPr>
        <w:ind w:right="220" w:firstLine="592"/>
        <w:spacing w:after="0" w:line="263" w:lineRule="auto"/>
        <w:rPr>
          <w:sz w:val="20"/>
          <w:szCs w:val="20"/>
          <w:color w:val="auto"/>
        </w:rPr>
      </w:pPr>
      <w:r>
        <w:rPr>
          <w:rFonts w:ascii="Arial" w:cs="Arial" w:eastAsia="Arial" w:hAnsi="Arial"/>
          <w:sz w:val="12"/>
          <w:szCs w:val="12"/>
          <w:color w:val="auto"/>
        </w:rPr>
        <w:t>On March 7, 2017, the Company completed its merger with Essentialis and issued 4,867,422 shares of common stock to stockholders of Essentialis. Additionally, upon the achievement of certain commercial milestones associated with the sale of Essentialis’ product in accordance with the terms of the Merger Agreement, the Company is obligated to make cash earnout payments of up to a maximum of $30.0 million to the former Essentialis stockholders.</w:t>
      </w:r>
    </w:p>
    <w:p>
      <w:pPr>
        <w:spacing w:after="0" w:line="122" w:lineRule="exact"/>
        <w:rPr>
          <w:sz w:val="20"/>
          <w:szCs w:val="20"/>
          <w:color w:val="auto"/>
        </w:rPr>
      </w:pPr>
    </w:p>
    <w:p>
      <w:pPr>
        <w:ind w:right="240" w:firstLine="592"/>
        <w:spacing w:after="0" w:line="276" w:lineRule="auto"/>
        <w:rPr>
          <w:sz w:val="20"/>
          <w:szCs w:val="20"/>
          <w:color w:val="auto"/>
        </w:rPr>
      </w:pPr>
      <w:r>
        <w:rPr>
          <w:rFonts w:ascii="Arial" w:cs="Arial" w:eastAsia="Arial" w:hAnsi="Arial"/>
          <w:sz w:val="12"/>
          <w:szCs w:val="12"/>
          <w:color w:val="auto"/>
        </w:rPr>
        <w:t>On December 11, 2017, the Company entered into a Securities Purchase Agreement with certain purchasers, pursuant to which the Company issued warrant to purchase 6,024,425 of the Company’s common stock at an exercise price of $2.00 per share which expired December 15</w:t>
      </w:r>
      <w:r>
        <w:rPr>
          <w:rFonts w:ascii="Arial" w:cs="Arial" w:eastAsia="Arial" w:hAnsi="Arial"/>
          <w:sz w:val="10"/>
          <w:szCs w:val="10"/>
          <w:color w:val="auto"/>
        </w:rPr>
        <w:t>th</w:t>
      </w:r>
      <w:r>
        <w:rPr>
          <w:rFonts w:ascii="Arial" w:cs="Arial" w:eastAsia="Arial" w:hAnsi="Arial"/>
          <w:sz w:val="12"/>
          <w:szCs w:val="12"/>
          <w:color w:val="auto"/>
        </w:rPr>
        <w:t xml:space="preserve"> 2020.</w:t>
      </w:r>
    </w:p>
    <w:p>
      <w:pPr>
        <w:spacing w:after="0" w:line="115" w:lineRule="exact"/>
        <w:rPr>
          <w:sz w:val="20"/>
          <w:szCs w:val="20"/>
          <w:color w:val="auto"/>
        </w:rPr>
      </w:pPr>
    </w:p>
    <w:p>
      <w:pPr>
        <w:ind w:firstLine="592"/>
        <w:spacing w:after="0" w:line="256" w:lineRule="auto"/>
        <w:rPr>
          <w:sz w:val="20"/>
          <w:szCs w:val="20"/>
          <w:color w:val="auto"/>
        </w:rPr>
      </w:pPr>
      <w:r>
        <w:rPr>
          <w:rFonts w:ascii="Arial" w:cs="Arial" w:eastAsia="Arial" w:hAnsi="Arial"/>
          <w:sz w:val="12"/>
          <w:szCs w:val="12"/>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the Company’s common stock and a warrant to purchase 0.05 shares of the Company’s common stock at an exercise price of $2.00 per share, for an aggregate of 10,272,375 shares of common stock and corresponding warrants to purchase an aggregate of 513,617 shares of common stock, together with the shares of common stock are referred to as the 2018 Resale Shares. The Company also granted certain registration rights to these stockholders, pursuant to which, among other things, the Company prepared and filed a registration statement with the SEC to register for resale the 2018 Resale Shares. The registration statement was declared effective in April 2019.</w:t>
      </w:r>
    </w:p>
    <w:p>
      <w:pPr>
        <w:spacing w:after="0" w:line="128" w:lineRule="exact"/>
        <w:rPr>
          <w:sz w:val="20"/>
          <w:szCs w:val="20"/>
          <w:color w:val="auto"/>
        </w:rPr>
      </w:pPr>
    </w:p>
    <w:p>
      <w:pPr>
        <w:ind w:right="260" w:firstLine="592"/>
        <w:spacing w:after="0" w:line="276" w:lineRule="auto"/>
        <w:rPr>
          <w:sz w:val="20"/>
          <w:szCs w:val="20"/>
          <w:color w:val="auto"/>
        </w:rPr>
      </w:pPr>
      <w:r>
        <w:rPr>
          <w:rFonts w:ascii="Arial" w:cs="Arial" w:eastAsia="Arial" w:hAnsi="Arial"/>
          <w:sz w:val="12"/>
          <w:szCs w:val="12"/>
          <w:color w:val="auto"/>
        </w:rPr>
        <w:t>On October 25, 2019, the Company sold 12,841,667 shares of its common stock, including 1,675,000 shares sold upon full exercise of the underwriters’ option to purchase additional shares, at a public offering price of $1.20 per share. The net proceeds of the offering were $14.5 million, after deducting the underwriting discount and other offering expenses.</w:t>
      </w:r>
    </w:p>
    <w:p>
      <w:pPr>
        <w:spacing w:after="0" w:line="43" w:lineRule="exact"/>
        <w:rPr>
          <w:sz w:val="20"/>
          <w:szCs w:val="20"/>
          <w:color w:val="auto"/>
        </w:rPr>
      </w:pPr>
    </w:p>
    <w:p>
      <w:pPr>
        <w:ind w:right="120" w:firstLine="592"/>
        <w:spacing w:after="0" w:line="276" w:lineRule="auto"/>
        <w:rPr>
          <w:sz w:val="20"/>
          <w:szCs w:val="20"/>
          <w:color w:val="auto"/>
        </w:rPr>
      </w:pPr>
      <w:r>
        <w:rPr>
          <w:rFonts w:ascii="Arial" w:cs="Arial" w:eastAsia="Arial" w:hAnsi="Arial"/>
          <w:sz w:val="12"/>
          <w:szCs w:val="12"/>
          <w:color w:val="auto"/>
        </w:rPr>
        <w:t>On June 26, 2020, the Company sold 34,848,484 shares of its common stock, including 4,545,454 shares sold upon full exercise of the underwriters’ option to purchase additional shares, at a public offering price of $1.65 per share. The net proceeds of the offering were $53.7 million, after deducting the underwriting discount and other offering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Incentive Plans</w:t>
      </w:r>
    </w:p>
    <w:p>
      <w:pPr>
        <w:spacing w:after="0" w:line="78" w:lineRule="exact"/>
        <w:rPr>
          <w:sz w:val="20"/>
          <w:szCs w:val="20"/>
          <w:color w:val="auto"/>
        </w:rPr>
      </w:pPr>
    </w:p>
    <w:p>
      <w:pPr>
        <w:jc w:val="both"/>
        <w:ind w:right="500" w:firstLine="592"/>
        <w:spacing w:after="0" w:line="263" w:lineRule="auto"/>
        <w:rPr>
          <w:sz w:val="20"/>
          <w:szCs w:val="20"/>
          <w:color w:val="auto"/>
        </w:rPr>
      </w:pPr>
      <w:r>
        <w:rPr>
          <w:rFonts w:ascii="Arial" w:cs="Arial" w:eastAsia="Arial" w:hAnsi="Arial"/>
          <w:sz w:val="12"/>
          <w:szCs w:val="12"/>
          <w:color w:val="auto"/>
        </w:rPr>
        <w:t>The Company has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22" w:lineRule="exact"/>
        <w:rPr>
          <w:sz w:val="20"/>
          <w:szCs w:val="20"/>
          <w:color w:val="auto"/>
        </w:rPr>
      </w:pPr>
    </w:p>
    <w:p>
      <w:pPr>
        <w:ind w:firstLine="592"/>
        <w:spacing w:after="0" w:line="289" w:lineRule="auto"/>
        <w:rPr>
          <w:sz w:val="20"/>
          <w:szCs w:val="20"/>
          <w:color w:val="auto"/>
        </w:rPr>
      </w:pPr>
      <w:r>
        <w:rPr>
          <w:rFonts w:ascii="Arial" w:cs="Arial" w:eastAsia="Arial" w:hAnsi="Arial"/>
          <w:sz w:val="11"/>
          <w:szCs w:val="11"/>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December 31, 2020, a total of 1,432,229 shares are available for future grant under the 2014 Plan.</w:t>
      </w:r>
    </w:p>
    <w:p>
      <w:pPr>
        <w:spacing w:after="0" w:line="111" w:lineRule="exact"/>
        <w:rPr>
          <w:sz w:val="20"/>
          <w:szCs w:val="20"/>
          <w:color w:val="auto"/>
        </w:rPr>
      </w:pPr>
    </w:p>
    <w:p>
      <w:pPr>
        <w:jc w:val="center"/>
        <w:ind w:left="320"/>
        <w:spacing w:after="0"/>
        <w:rPr>
          <w:sz w:val="20"/>
          <w:szCs w:val="20"/>
          <w:color w:val="auto"/>
        </w:rPr>
      </w:pPr>
      <w:r>
        <w:rPr>
          <w:rFonts w:ascii="Arial" w:cs="Arial" w:eastAsia="Arial" w:hAnsi="Arial"/>
          <w:sz w:val="11"/>
          <w:szCs w:val="11"/>
          <w:color w:val="auto"/>
        </w:rPr>
        <w:t>On September 28, 2020, the Board of Directors adopted the 2020 Inducement Equity Incentive Plan (the Inducement Plan), and reserved 1,500,000 shares of the Company’s common stock for issuance to equity awards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87" w:right="319" w:bottom="1440" w:gutter="0" w:footer="0" w:header="0"/>
        </w:sectPr>
      </w:pPr>
    </w:p>
    <w:bookmarkStart w:id="82" w:name="page83"/>
    <w:bookmarkEnd w:id="82"/>
    <w:p>
      <w:pPr>
        <w:ind w:right="220"/>
        <w:spacing w:after="0" w:line="323" w:lineRule="auto"/>
        <w:rPr>
          <w:sz w:val="20"/>
          <w:szCs w:val="20"/>
          <w:color w:val="auto"/>
        </w:rPr>
      </w:pPr>
      <w:r>
        <w:rPr>
          <w:rFonts w:ascii="Arial" w:cs="Arial" w:eastAsia="Arial" w:hAnsi="Arial"/>
          <w:sz w:val="11"/>
          <w:szCs w:val="11"/>
          <w:color w:val="auto"/>
        </w:rPr>
        <w:t>granted under the Inducement Plan. The Inducement Plan provides for the grant of equity-based awards, including nonqualified stock options, restricted stock units, restricted stock, stock appreciation rights, performance shares and performance units, and its terms are substantially similar to the Company’s 2014 Equity Incentive Plan. As of December 31, 2020, no grants had been made and 1,500,000 shares are available for future grant.</w:t>
      </w:r>
    </w:p>
    <w:p>
      <w:pPr>
        <w:spacing w:after="0" w:line="92"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The Company recognized stock-based compensation expense related to options and restricted stock units granted to employees, directors and consultants for the years ended December 31, 2020 and 2019 of $1.5 million and $0.8 million, respectively. The compensation expense is allocated on a departmental basis, based on the classification of the option holder. No income tax benefits have been recognized in the statements of operations for stock-based compensation arrangements during the year ended December 31, 2020 and December 31, 2019.</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Stock compensation expense was allocated between departments as follows (in thousands).</w:t>
      </w: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Year ended</w:t>
            </w: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right"/>
              <w:ind w:right="207"/>
              <w:spacing w:after="0" w:line="83" w:lineRule="exact"/>
              <w:rPr>
                <w:sz w:val="20"/>
                <w:szCs w:val="20"/>
                <w:color w:val="auto"/>
              </w:rPr>
            </w:pPr>
            <w:r>
              <w:rPr>
                <w:rFonts w:ascii="Arial" w:cs="Arial" w:eastAsia="Arial" w:hAnsi="Arial"/>
                <w:sz w:val="8"/>
                <w:szCs w:val="8"/>
                <w:b w:val="1"/>
                <w:bCs w:val="1"/>
                <w:color w:val="auto"/>
              </w:rPr>
              <w:t>December 31,</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jc w:val="right"/>
              <w:ind w:right="226"/>
              <w:spacing w:after="0" w:line="83"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60" w:type="dxa"/>
            <w:vAlign w:val="bottom"/>
            <w:tcBorders>
              <w:bottom w:val="single" w:sz="8" w:color="CFF0FC"/>
            </w:tcBorders>
          </w:tcPr>
          <w:p>
            <w:pPr>
              <w:spacing w:after="0"/>
              <w:rPr>
                <w:sz w:val="9"/>
                <w:szCs w:val="9"/>
                <w:color w:val="auto"/>
              </w:rPr>
            </w:pPr>
          </w:p>
        </w:tc>
        <w:tc>
          <w:tcPr>
            <w:tcW w:w="20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07"/>
              <w:spacing w:after="0" w:line="114"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06"/>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2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gridSpan w:val="2"/>
          </w:tcPr>
          <w:p>
            <w:pPr>
              <w:spacing w:after="0"/>
              <w:rPr>
                <w:sz w:val="20"/>
                <w:szCs w:val="20"/>
                <w:color w:val="auto"/>
              </w:rPr>
            </w:pPr>
            <w:r>
              <w:rPr>
                <w:rFonts w:ascii="Arial" w:cs="Arial" w:eastAsia="Arial" w:hAnsi="Arial"/>
                <w:sz w:val="12"/>
                <w:szCs w:val="12"/>
                <w:color w:val="auto"/>
              </w:rPr>
              <w:t>General and administrative</w:t>
            </w: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1,152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2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vMerge w:val="continue"/>
            <w:shd w:val="clear" w:color="auto" w:fill="CFF0FC"/>
          </w:tcPr>
          <w:p>
            <w:pPr>
              <w:spacing w:after="0"/>
              <w:rPr>
                <w:sz w:val="12"/>
                <w:szCs w:val="12"/>
                <w:color w:val="auto"/>
              </w:rPr>
            </w:pPr>
          </w:p>
        </w:tc>
        <w:tc>
          <w:tcPr>
            <w:tcW w:w="2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shd w:val="clear" w:color="auto" w:fill="CFF0FC"/>
          </w:tcPr>
          <w:p>
            <w:pPr>
              <w:spacing w:after="0"/>
              <w:rPr>
                <w:sz w:val="2"/>
                <w:szCs w:val="2"/>
                <w:color w:val="auto"/>
              </w:rPr>
            </w:pPr>
          </w:p>
        </w:tc>
        <w:tc>
          <w:tcPr>
            <w:tcW w:w="20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w:t>
      </w:r>
    </w:p>
    <w:p>
      <w:pPr>
        <w:spacing w:after="0" w:line="82" w:lineRule="exact"/>
        <w:rPr>
          <w:sz w:val="20"/>
          <w:szCs w:val="20"/>
          <w:color w:val="auto"/>
        </w:rPr>
      </w:pPr>
    </w:p>
    <w:p>
      <w:pPr>
        <w:ind w:right="120" w:firstLine="592"/>
        <w:spacing w:after="0" w:line="276" w:lineRule="auto"/>
        <w:rPr>
          <w:sz w:val="20"/>
          <w:szCs w:val="20"/>
          <w:color w:val="auto"/>
        </w:rPr>
      </w:pPr>
      <w:r>
        <w:rPr>
          <w:rFonts w:ascii="Arial" w:cs="Arial" w:eastAsia="Arial" w:hAnsi="Arial"/>
          <w:sz w:val="12"/>
          <w:szCs w:val="12"/>
          <w:color w:val="auto"/>
        </w:rPr>
        <w:t>The Company granted options to purchase 824,150 and 658,285 of the Company’s common stock during the years ended December 31, 2020 and 2019, respectively. The fair value of each award granted was estimated on the date of grant using the Black-Scholes option pricing model with the following assumptions.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 Ended</w:t>
            </w:r>
          </w:p>
        </w:tc>
      </w:tr>
      <w:tr>
        <w:trPr>
          <w:trHeight w:val="83"/>
        </w:trPr>
        <w:tc>
          <w:tcPr>
            <w:tcW w:w="20" w:type="dxa"/>
            <w:vAlign w:val="bottom"/>
          </w:tcPr>
          <w:p>
            <w:pPr>
              <w:spacing w:after="0"/>
              <w:rPr>
                <w:sz w:val="7"/>
                <w:szCs w:val="7"/>
                <w:color w:val="auto"/>
              </w:rPr>
            </w:pPr>
          </w:p>
        </w:tc>
        <w:tc>
          <w:tcPr>
            <w:tcW w:w="5420" w:type="dxa"/>
            <w:vAlign w:val="bottom"/>
          </w:tcPr>
          <w:p>
            <w:pPr>
              <w:spacing w:after="0"/>
              <w:rPr>
                <w:sz w:val="7"/>
                <w:szCs w:val="7"/>
                <w:color w:val="auto"/>
              </w:rPr>
            </w:pPr>
          </w:p>
        </w:tc>
        <w:tc>
          <w:tcPr>
            <w:tcW w:w="940" w:type="dxa"/>
            <w:vAlign w:val="bottom"/>
          </w:tcPr>
          <w:p>
            <w:pPr>
              <w:ind w:left="300"/>
              <w:spacing w:after="0" w:line="83" w:lineRule="exact"/>
              <w:rPr>
                <w:sz w:val="20"/>
                <w:szCs w:val="20"/>
                <w:color w:val="auto"/>
              </w:rPr>
            </w:pPr>
            <w:r>
              <w:rPr>
                <w:rFonts w:ascii="Arial" w:cs="Arial" w:eastAsia="Arial" w:hAnsi="Arial"/>
                <w:sz w:val="8"/>
                <w:szCs w:val="8"/>
                <w:b w:val="1"/>
                <w:bCs w:val="1"/>
                <w:color w:val="auto"/>
              </w:rPr>
              <w:t>December 31,</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ind w:left="300"/>
              <w:spacing w:after="0" w:line="83" w:lineRule="exact"/>
              <w:rPr>
                <w:sz w:val="20"/>
                <w:szCs w:val="20"/>
                <w:color w:val="auto"/>
              </w:rPr>
            </w:pPr>
            <w:r>
              <w:rPr>
                <w:rFonts w:ascii="Arial" w:cs="Arial" w:eastAsia="Arial" w:hAnsi="Arial"/>
                <w:sz w:val="8"/>
                <w:szCs w:val="8"/>
                <w:b w:val="1"/>
                <w:bCs w:val="1"/>
                <w:color w:val="auto"/>
              </w:rPr>
              <w:t>December 31,</w:t>
            </w:r>
          </w:p>
        </w:tc>
      </w:tr>
      <w:tr>
        <w:trPr>
          <w:trHeight w:val="113"/>
        </w:trPr>
        <w:tc>
          <w:tcPr>
            <w:tcW w:w="20" w:type="dxa"/>
            <w:vAlign w:val="bottom"/>
          </w:tcPr>
          <w:p>
            <w:pPr>
              <w:spacing w:after="0"/>
              <w:rPr>
                <w:sz w:val="9"/>
                <w:szCs w:val="9"/>
                <w:color w:val="auto"/>
              </w:rPr>
            </w:pPr>
          </w:p>
        </w:tc>
        <w:tc>
          <w:tcPr>
            <w:tcW w:w="54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center"/>
              <w:ind w:left="165"/>
              <w:spacing w:after="0" w:line="114"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1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r>
      <w:tr>
        <w:trPr>
          <w:trHeight w:val="142"/>
        </w:trPr>
        <w:tc>
          <w:tcPr>
            <w:tcW w:w="20" w:type="dxa"/>
            <w:vAlign w:val="bottom"/>
          </w:tcPr>
          <w:p>
            <w:pPr>
              <w:spacing w:after="0"/>
              <w:rPr>
                <w:sz w:val="12"/>
                <w:szCs w:val="12"/>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2"/>
                <w:szCs w:val="12"/>
                <w:color w:val="auto"/>
              </w:rPr>
              <w:t>Expected life (years)</w:t>
            </w:r>
          </w:p>
        </w:tc>
        <w:tc>
          <w:tcPr>
            <w:tcW w:w="940" w:type="dxa"/>
            <w:vAlign w:val="bottom"/>
            <w:shd w:val="clear" w:color="auto" w:fill="CFF0FC"/>
          </w:tcPr>
          <w:p>
            <w:pPr>
              <w:jc w:val="center"/>
              <w:ind w:left="185"/>
              <w:spacing w:after="0"/>
              <w:rPr>
                <w:sz w:val="20"/>
                <w:szCs w:val="20"/>
                <w:color w:val="auto"/>
              </w:rPr>
            </w:pPr>
            <w:r>
              <w:rPr>
                <w:rFonts w:ascii="Arial" w:cs="Arial" w:eastAsia="Arial" w:hAnsi="Arial"/>
                <w:sz w:val="12"/>
                <w:szCs w:val="12"/>
                <w:color w:val="auto"/>
                <w:w w:val="90"/>
              </w:rPr>
              <w:t>5.5-6.1</w:t>
            </w:r>
          </w:p>
        </w:tc>
        <w:tc>
          <w:tcPr>
            <w:tcW w:w="1540" w:type="dxa"/>
            <w:vAlign w:val="bottom"/>
            <w:gridSpan w:val="3"/>
            <w:shd w:val="clear" w:color="auto" w:fill="CFF0FC"/>
          </w:tcPr>
          <w:p>
            <w:pPr>
              <w:jc w:val="center"/>
              <w:ind w:left="303"/>
              <w:spacing w:after="0"/>
              <w:rPr>
                <w:sz w:val="20"/>
                <w:szCs w:val="20"/>
                <w:color w:val="auto"/>
              </w:rPr>
            </w:pPr>
            <w:r>
              <w:rPr>
                <w:rFonts w:ascii="Arial" w:cs="Arial" w:eastAsia="Arial" w:hAnsi="Arial"/>
                <w:sz w:val="12"/>
                <w:szCs w:val="12"/>
                <w:color w:val="auto"/>
                <w:w w:val="90"/>
              </w:rPr>
              <w:t>5.5-6.1</w:t>
            </w:r>
          </w:p>
        </w:tc>
      </w:tr>
      <w:tr>
        <w:trPr>
          <w:trHeight w:val="153"/>
        </w:trPr>
        <w:tc>
          <w:tcPr>
            <w:tcW w:w="5440" w:type="dxa"/>
            <w:vAlign w:val="bottom"/>
            <w:gridSpan w:val="2"/>
          </w:tcPr>
          <w:p>
            <w:pPr>
              <w:spacing w:after="0"/>
              <w:rPr>
                <w:sz w:val="20"/>
                <w:szCs w:val="20"/>
                <w:color w:val="auto"/>
              </w:rPr>
            </w:pPr>
            <w:r>
              <w:rPr>
                <w:rFonts w:ascii="Arial" w:cs="Arial" w:eastAsia="Arial" w:hAnsi="Arial"/>
                <w:sz w:val="12"/>
                <w:szCs w:val="12"/>
                <w:color w:val="auto"/>
              </w:rPr>
              <w:t>Risk-free interest rate</w:t>
            </w:r>
          </w:p>
        </w:tc>
        <w:tc>
          <w:tcPr>
            <w:tcW w:w="940" w:type="dxa"/>
            <w:vAlign w:val="bottom"/>
          </w:tcPr>
          <w:p>
            <w:pPr>
              <w:jc w:val="center"/>
              <w:ind w:left="185"/>
              <w:spacing w:after="0"/>
              <w:rPr>
                <w:sz w:val="20"/>
                <w:szCs w:val="20"/>
                <w:color w:val="auto"/>
              </w:rPr>
            </w:pPr>
            <w:r>
              <w:rPr>
                <w:rFonts w:ascii="Arial" w:cs="Arial" w:eastAsia="Arial" w:hAnsi="Arial"/>
                <w:sz w:val="12"/>
                <w:szCs w:val="12"/>
                <w:color w:val="auto"/>
                <w:w w:val="91"/>
              </w:rPr>
              <w:t>0.4%-0.5%</w:t>
            </w:r>
          </w:p>
        </w:tc>
        <w:tc>
          <w:tcPr>
            <w:tcW w:w="1540" w:type="dxa"/>
            <w:vAlign w:val="bottom"/>
            <w:gridSpan w:val="3"/>
          </w:tcPr>
          <w:p>
            <w:pPr>
              <w:jc w:val="center"/>
              <w:ind w:left="303"/>
              <w:spacing w:after="0"/>
              <w:rPr>
                <w:sz w:val="20"/>
                <w:szCs w:val="20"/>
                <w:color w:val="auto"/>
              </w:rPr>
            </w:pPr>
            <w:r>
              <w:rPr>
                <w:rFonts w:ascii="Arial" w:cs="Arial" w:eastAsia="Arial" w:hAnsi="Arial"/>
                <w:sz w:val="12"/>
                <w:szCs w:val="12"/>
                <w:color w:val="auto"/>
                <w:w w:val="91"/>
              </w:rPr>
              <w:t>1.6%-2.6%</w:t>
            </w:r>
          </w:p>
        </w:tc>
      </w:tr>
      <w:tr>
        <w:trPr>
          <w:trHeight w:val="153"/>
        </w:trPr>
        <w:tc>
          <w:tcPr>
            <w:tcW w:w="20" w:type="dxa"/>
            <w:vAlign w:val="bottom"/>
          </w:tcPr>
          <w:p>
            <w:pPr>
              <w:spacing w:after="0"/>
              <w:rPr>
                <w:sz w:val="13"/>
                <w:szCs w:val="13"/>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940" w:type="dxa"/>
            <w:vAlign w:val="bottom"/>
            <w:shd w:val="clear" w:color="auto" w:fill="CFF0FC"/>
          </w:tcPr>
          <w:p>
            <w:pPr>
              <w:jc w:val="center"/>
              <w:ind w:left="165"/>
              <w:spacing w:after="0"/>
              <w:rPr>
                <w:sz w:val="20"/>
                <w:szCs w:val="20"/>
                <w:color w:val="auto"/>
              </w:rPr>
            </w:pPr>
            <w:r>
              <w:rPr>
                <w:rFonts w:ascii="Arial" w:cs="Arial" w:eastAsia="Arial" w:hAnsi="Arial"/>
                <w:sz w:val="12"/>
                <w:szCs w:val="12"/>
                <w:color w:val="auto"/>
                <w:w w:val="92"/>
              </w:rPr>
              <w:t>64%-96%</w:t>
            </w:r>
          </w:p>
        </w:tc>
        <w:tc>
          <w:tcPr>
            <w:tcW w:w="1540" w:type="dxa"/>
            <w:vAlign w:val="bottom"/>
            <w:gridSpan w:val="3"/>
            <w:shd w:val="clear" w:color="auto" w:fill="CFF0FC"/>
          </w:tcPr>
          <w:p>
            <w:pPr>
              <w:jc w:val="center"/>
              <w:ind w:left="283"/>
              <w:spacing w:after="0"/>
              <w:rPr>
                <w:sz w:val="20"/>
                <w:szCs w:val="20"/>
                <w:color w:val="auto"/>
              </w:rPr>
            </w:pPr>
            <w:r>
              <w:rPr>
                <w:rFonts w:ascii="Arial" w:cs="Arial" w:eastAsia="Arial" w:hAnsi="Arial"/>
                <w:sz w:val="12"/>
                <w:szCs w:val="12"/>
                <w:color w:val="auto"/>
                <w:w w:val="92"/>
              </w:rPr>
              <w:t>70%-75%</w:t>
            </w:r>
          </w:p>
        </w:tc>
      </w:tr>
      <w:tr>
        <w:trPr>
          <w:trHeight w:val="153"/>
        </w:trPr>
        <w:tc>
          <w:tcPr>
            <w:tcW w:w="5440" w:type="dxa"/>
            <w:vAlign w:val="bottom"/>
            <w:gridSpan w:val="2"/>
          </w:tcPr>
          <w:p>
            <w:pPr>
              <w:spacing w:after="0"/>
              <w:rPr>
                <w:sz w:val="20"/>
                <w:szCs w:val="20"/>
                <w:color w:val="auto"/>
              </w:rPr>
            </w:pPr>
            <w:r>
              <w:rPr>
                <w:rFonts w:ascii="Arial" w:cs="Arial" w:eastAsia="Arial" w:hAnsi="Arial"/>
                <w:sz w:val="12"/>
                <w:szCs w:val="12"/>
                <w:color w:val="auto"/>
              </w:rPr>
              <w:t>Dividend rate</w:t>
            </w:r>
          </w:p>
        </w:tc>
        <w:tc>
          <w:tcPr>
            <w:tcW w:w="940" w:type="dxa"/>
            <w:vAlign w:val="bottom"/>
          </w:tcPr>
          <w:p>
            <w:pPr>
              <w:jc w:val="center"/>
              <w:ind w:left="165"/>
              <w:spacing w:after="0"/>
              <w:rPr>
                <w:sz w:val="20"/>
                <w:szCs w:val="20"/>
                <w:color w:val="auto"/>
              </w:rPr>
            </w:pPr>
            <w:r>
              <w:rPr>
                <w:rFonts w:ascii="Arial" w:cs="Arial" w:eastAsia="Arial" w:hAnsi="Arial"/>
                <w:sz w:val="12"/>
                <w:szCs w:val="12"/>
                <w:color w:val="auto"/>
              </w:rPr>
              <w:t>—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rPr>
              <w:t>— %</w:t>
            </w: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Black-Scholes option-pricing model requires the use of highly subjective assumptions to estimate the fair value of stock-based awards. These assumptions include the following estimates:</w:t>
      </w:r>
    </w:p>
    <w:p>
      <w:pPr>
        <w:spacing w:after="0" w:line="78" w:lineRule="exact"/>
        <w:rPr>
          <w:sz w:val="20"/>
          <w:szCs w:val="20"/>
          <w:color w:val="auto"/>
        </w:rPr>
      </w:pPr>
    </w:p>
    <w:p>
      <w:pPr>
        <w:ind w:left="1020" w:right="40" w:hanging="443"/>
        <w:spacing w:after="0" w:line="263" w:lineRule="auto"/>
        <w:tabs>
          <w:tab w:leader="none" w:pos="10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Expected life: </w:t>
      </w:r>
      <w:r>
        <w:rPr>
          <w:rFonts w:ascii="Arial" w:cs="Arial" w:eastAsia="Arial" w:hAnsi="Arial"/>
          <w:sz w:val="12"/>
          <w:szCs w:val="12"/>
          <w:color w:val="auto"/>
        </w:rPr>
        <w:t>The expected life of stock options represents the average of the contractual term of the options and the weighted-average vesting period, as permitted under the simplified method. The Company does</w:t>
      </w:r>
      <w:r>
        <w:rPr>
          <w:rFonts w:ascii="Arial" w:cs="Arial" w:eastAsia="Arial" w:hAnsi="Arial"/>
          <w:sz w:val="12"/>
          <w:szCs w:val="12"/>
          <w:i w:val="1"/>
          <w:iCs w:val="1"/>
          <w:color w:val="auto"/>
        </w:rPr>
        <w:t xml:space="preserve"> </w:t>
      </w:r>
      <w:r>
        <w:rPr>
          <w:rFonts w:ascii="Arial" w:cs="Arial" w:eastAsia="Arial" w:hAnsi="Arial"/>
          <w:sz w:val="12"/>
          <w:szCs w:val="12"/>
          <w:color w:val="auto"/>
        </w:rPr>
        <w:t>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50" w:lineRule="exact"/>
        <w:rPr>
          <w:rFonts w:ascii="Arial" w:cs="Arial" w:eastAsia="Arial" w:hAnsi="Arial"/>
          <w:sz w:val="12"/>
          <w:szCs w:val="12"/>
          <w:color w:val="auto"/>
        </w:rPr>
      </w:pPr>
    </w:p>
    <w:p>
      <w:pPr>
        <w:ind w:left="1020" w:hanging="443"/>
        <w:spacing w:after="0"/>
        <w:tabs>
          <w:tab w:leader="none" w:pos="10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is based on the yields of U.S. Treasury securities with maturities similar to the expected time to liquidity.</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Volatility: </w:t>
      </w:r>
      <w:r>
        <w:rPr>
          <w:rFonts w:ascii="Arial" w:cs="Arial" w:eastAsia="Arial" w:hAnsi="Arial"/>
          <w:sz w:val="12"/>
          <w:szCs w:val="12"/>
          <w:color w:val="auto"/>
        </w:rPr>
        <w:t>The estimated volatility rate based on the volatilities of the Company’s common stock together with comparable companies in the Company’s industry.</w:t>
      </w:r>
    </w:p>
    <w:p>
      <w:pPr>
        <w:spacing w:after="0" w:line="96" w:lineRule="exact"/>
        <w:rPr>
          <w:rFonts w:ascii="Arial" w:cs="Arial" w:eastAsia="Arial" w:hAnsi="Arial"/>
          <w:sz w:val="12"/>
          <w:szCs w:val="12"/>
          <w:color w:val="auto"/>
        </w:rPr>
      </w:pPr>
    </w:p>
    <w:p>
      <w:pPr>
        <w:ind w:left="1020" w:right="20" w:hanging="443"/>
        <w:spacing w:after="0" w:line="276" w:lineRule="auto"/>
        <w:tabs>
          <w:tab w:leader="none" w:pos="102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 xml:space="preserve">Dividend rate: </w:t>
      </w:r>
      <w:r>
        <w:rPr>
          <w:rFonts w:ascii="Arial" w:cs="Arial" w:eastAsia="Arial" w:hAnsi="Arial"/>
          <w:sz w:val="12"/>
          <w:szCs w:val="12"/>
          <w:color w:val="auto"/>
        </w:rPr>
        <w:t>The Company has never declared or paid any cash dividends and does not presently plan to pay cash dividends in the foreseeable future. Consequently, the Company used an expected dividend yield</w:t>
      </w:r>
      <w:r>
        <w:rPr>
          <w:rFonts w:ascii="Arial" w:cs="Arial" w:eastAsia="Arial" w:hAnsi="Arial"/>
          <w:sz w:val="12"/>
          <w:szCs w:val="12"/>
          <w:i w:val="1"/>
          <w:iCs w:val="1"/>
          <w:color w:val="auto"/>
        </w:rPr>
        <w:t xml:space="preserve"> </w:t>
      </w:r>
      <w:r>
        <w:rPr>
          <w:rFonts w:ascii="Arial" w:cs="Arial" w:eastAsia="Arial" w:hAnsi="Arial"/>
          <w:sz w:val="12"/>
          <w:szCs w:val="12"/>
          <w:color w:val="auto"/>
        </w:rPr>
        <w:t>of zero.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83" w:name="page84"/>
    <w:bookmarkEnd w:id="83"/>
    <w:p>
      <w:pPr>
        <w:ind w:left="580"/>
        <w:spacing w:after="0"/>
        <w:rPr>
          <w:sz w:val="20"/>
          <w:szCs w:val="20"/>
          <w:color w:val="auto"/>
        </w:rPr>
      </w:pPr>
      <w:r>
        <w:rPr>
          <w:rFonts w:ascii="Arial" w:cs="Arial" w:eastAsia="Arial" w:hAnsi="Arial"/>
          <w:sz w:val="12"/>
          <w:szCs w:val="12"/>
          <w:color w:val="auto"/>
        </w:rPr>
        <w:t>The following table summarizes stock option and restricted stock unit transactions for the years ended December 31, 2020 and 2019 as issued under the 2014 Plan.</w:t>
      </w:r>
    </w:p>
    <w:p>
      <w:pPr>
        <w:spacing w:after="0" w:line="137"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left="252"/>
              <w:spacing w:after="0"/>
              <w:rPr>
                <w:sz w:val="20"/>
                <w:szCs w:val="20"/>
                <w:color w:val="auto"/>
              </w:rPr>
            </w:pPr>
            <w:r>
              <w:rPr>
                <w:rFonts w:ascii="Arial" w:cs="Arial" w:eastAsia="Arial" w:hAnsi="Arial"/>
                <w:sz w:val="10"/>
                <w:szCs w:val="10"/>
                <w:b w:val="1"/>
                <w:bCs w:val="1"/>
                <w:color w:val="auto"/>
                <w:w w:val="88"/>
              </w:rPr>
              <w:t>Weighted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4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left="232"/>
              <w:spacing w:after="0" w:line="99" w:lineRule="exact"/>
              <w:rPr>
                <w:sz w:val="20"/>
                <w:szCs w:val="20"/>
                <w:color w:val="auto"/>
              </w:rPr>
            </w:pPr>
            <w:r>
              <w:rPr>
                <w:rFonts w:ascii="Arial" w:cs="Arial" w:eastAsia="Arial" w:hAnsi="Arial"/>
                <w:sz w:val="10"/>
                <w:szCs w:val="10"/>
                <w:b w:val="1"/>
                <w:bCs w:val="1"/>
                <w:color w:val="auto"/>
                <w:w w:val="86"/>
              </w:rPr>
              <w:t>Weighted-</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0"/>
              </w:rPr>
              <w:t>Average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4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0"/>
              </w:rPr>
              <w:t>Average</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5"/>
              </w:rPr>
              <w:t>Remaining</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4460" w:type="dxa"/>
            <w:vAlign w:val="bottom"/>
          </w:tcPr>
          <w:p>
            <w:pPr>
              <w:spacing w:after="0"/>
              <w:rPr>
                <w:sz w:val="8"/>
                <w:szCs w:val="8"/>
                <w:color w:val="auto"/>
              </w:rPr>
            </w:pPr>
          </w:p>
        </w:tc>
        <w:tc>
          <w:tcPr>
            <w:tcW w:w="146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Number of</w:t>
            </w:r>
          </w:p>
        </w:tc>
        <w:tc>
          <w:tcPr>
            <w:tcW w:w="90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7"/>
              </w:rPr>
              <w:t>Exercise</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center"/>
              <w:ind w:left="232"/>
              <w:spacing w:after="0" w:line="99" w:lineRule="exact"/>
              <w:rPr>
                <w:sz w:val="20"/>
                <w:szCs w:val="20"/>
                <w:color w:val="auto"/>
              </w:rPr>
            </w:pPr>
            <w:r>
              <w:rPr>
                <w:rFonts w:ascii="Arial" w:cs="Arial" w:eastAsia="Arial" w:hAnsi="Arial"/>
                <w:sz w:val="10"/>
                <w:szCs w:val="10"/>
                <w:b w:val="1"/>
                <w:bCs w:val="1"/>
                <w:color w:val="auto"/>
                <w:w w:val="89"/>
              </w:rPr>
              <w:t>Contractual</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4460" w:type="dxa"/>
            <w:vAlign w:val="bottom"/>
          </w:tcPr>
          <w:p>
            <w:pPr>
              <w:spacing w:after="0"/>
              <w:rPr>
                <w:sz w:val="9"/>
                <w:szCs w:val="9"/>
                <w:color w:val="auto"/>
              </w:rPr>
            </w:pPr>
          </w:p>
        </w:tc>
        <w:tc>
          <w:tcPr>
            <w:tcW w:w="146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84"/>
              </w:rPr>
              <w:t>Options</w:t>
            </w:r>
          </w:p>
        </w:tc>
        <w:tc>
          <w:tcPr>
            <w:tcW w:w="900" w:type="dxa"/>
            <w:vAlign w:val="bottom"/>
          </w:tcPr>
          <w:p>
            <w:pPr>
              <w:jc w:val="center"/>
              <w:ind w:left="252"/>
              <w:spacing w:after="0" w:line="108" w:lineRule="exact"/>
              <w:rPr>
                <w:sz w:val="20"/>
                <w:szCs w:val="20"/>
                <w:color w:val="auto"/>
              </w:rPr>
            </w:pPr>
            <w:r>
              <w:rPr>
                <w:rFonts w:ascii="Arial" w:cs="Arial" w:eastAsia="Arial" w:hAnsi="Arial"/>
                <w:sz w:val="10"/>
                <w:szCs w:val="10"/>
                <w:b w:val="1"/>
                <w:bCs w:val="1"/>
                <w:color w:val="auto"/>
                <w:w w:val="83"/>
              </w:rPr>
              <w:t>Price per</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jc w:val="center"/>
              <w:ind w:left="232"/>
              <w:spacing w:after="0" w:line="108" w:lineRule="exact"/>
              <w:rPr>
                <w:sz w:val="20"/>
                <w:szCs w:val="20"/>
                <w:color w:val="auto"/>
              </w:rPr>
            </w:pPr>
            <w:r>
              <w:rPr>
                <w:rFonts w:ascii="Arial" w:cs="Arial" w:eastAsia="Arial" w:hAnsi="Arial"/>
                <w:sz w:val="10"/>
                <w:szCs w:val="10"/>
                <w:b w:val="1"/>
                <w:bCs w:val="1"/>
                <w:color w:val="auto"/>
                <w:w w:val="89"/>
              </w:rPr>
              <w:t>Term</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6"/>
              </w:rPr>
              <w:t>Aggregate Intrinsic Value</w:t>
            </w:r>
          </w:p>
        </w:tc>
      </w:tr>
      <w:tr>
        <w:trPr>
          <w:trHeight w:val="113"/>
        </w:trPr>
        <w:tc>
          <w:tcPr>
            <w:tcW w:w="4460" w:type="dxa"/>
            <w:vAlign w:val="bottom"/>
          </w:tcPr>
          <w:p>
            <w:pPr>
              <w:spacing w:after="0"/>
              <w:rPr>
                <w:sz w:val="9"/>
                <w:szCs w:val="9"/>
                <w:color w:val="auto"/>
              </w:rPr>
            </w:pPr>
          </w:p>
        </w:tc>
        <w:tc>
          <w:tcPr>
            <w:tcW w:w="14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Outstanding</w:t>
            </w:r>
          </w:p>
        </w:tc>
        <w:tc>
          <w:tcPr>
            <w:tcW w:w="900" w:type="dxa"/>
            <w:vAlign w:val="bottom"/>
          </w:tcPr>
          <w:p>
            <w:pPr>
              <w:jc w:val="center"/>
              <w:ind w:left="252"/>
              <w:spacing w:after="0" w:line="114" w:lineRule="exact"/>
              <w:rPr>
                <w:sz w:val="20"/>
                <w:szCs w:val="20"/>
                <w:color w:val="auto"/>
              </w:rPr>
            </w:pPr>
            <w:r>
              <w:rPr>
                <w:rFonts w:ascii="Arial" w:cs="Arial" w:eastAsia="Arial" w:hAnsi="Arial"/>
                <w:sz w:val="10"/>
                <w:szCs w:val="10"/>
                <w:b w:val="1"/>
                <w:bCs w:val="1"/>
                <w:color w:val="auto"/>
                <w:w w:val="86"/>
              </w:rPr>
              <w:t>Share</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jc w:val="center"/>
              <w:ind w:left="252"/>
              <w:spacing w:after="0" w:line="114" w:lineRule="exact"/>
              <w:rPr>
                <w:sz w:val="20"/>
                <w:szCs w:val="20"/>
                <w:color w:val="auto"/>
              </w:rPr>
            </w:pPr>
            <w:r>
              <w:rPr>
                <w:rFonts w:ascii="Arial" w:cs="Arial" w:eastAsia="Arial" w:hAnsi="Arial"/>
                <w:sz w:val="10"/>
                <w:szCs w:val="10"/>
                <w:b w:val="1"/>
                <w:bCs w:val="1"/>
                <w:color w:val="auto"/>
                <w:w w:val="89"/>
              </w:rPr>
              <w:t>(in years)</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7"/>
              </w:rPr>
              <w:t>(in thousands)</w:t>
            </w:r>
          </w:p>
        </w:tc>
      </w:tr>
      <w:tr>
        <w:trPr>
          <w:trHeight w:val="142"/>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January 1,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1,667,153</w:t>
            </w:r>
          </w:p>
        </w:tc>
        <w:tc>
          <w:tcPr>
            <w:tcW w:w="2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6.03</w:t>
            </w:r>
          </w:p>
        </w:tc>
        <w:tc>
          <w:tcPr>
            <w:tcW w:w="22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8.27</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460" w:type="dxa"/>
            <w:vAlign w:val="bottom"/>
          </w:tcPr>
          <w:p>
            <w:pPr>
              <w:ind w:left="160"/>
              <w:spacing w:after="0"/>
              <w:rPr>
                <w:sz w:val="20"/>
                <w:szCs w:val="20"/>
                <w:color w:val="auto"/>
              </w:rPr>
            </w:pPr>
            <w:r>
              <w:rPr>
                <w:rFonts w:ascii="Arial" w:cs="Arial" w:eastAsia="Arial" w:hAnsi="Arial"/>
                <w:sz w:val="12"/>
                <w:szCs w:val="12"/>
                <w:color w:val="auto"/>
              </w:rPr>
              <w:t>Options granted</w:t>
            </w:r>
          </w:p>
        </w:tc>
        <w:tc>
          <w:tcPr>
            <w:tcW w:w="1220" w:type="dxa"/>
            <w:vAlign w:val="bottom"/>
          </w:tcPr>
          <w:p>
            <w:pPr>
              <w:jc w:val="right"/>
              <w:spacing w:after="0"/>
              <w:rPr>
                <w:sz w:val="20"/>
                <w:szCs w:val="20"/>
                <w:color w:val="auto"/>
              </w:rPr>
            </w:pPr>
            <w:r>
              <w:rPr>
                <w:rFonts w:ascii="Arial" w:cs="Arial" w:eastAsia="Arial" w:hAnsi="Arial"/>
                <w:sz w:val="12"/>
                <w:szCs w:val="12"/>
                <w:color w:val="auto"/>
              </w:rPr>
              <w:t>658,285</w:t>
            </w:r>
          </w:p>
        </w:tc>
        <w:tc>
          <w:tcPr>
            <w:tcW w:w="240" w:type="dxa"/>
            <w:vAlign w:val="bottom"/>
          </w:tcPr>
          <w:p>
            <w:pPr>
              <w:spacing w:after="0"/>
              <w:rPr>
                <w:sz w:val="13"/>
                <w:szCs w:val="13"/>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1.77</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canceled/forfeited</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(202,321)</w:t>
            </w:r>
          </w:p>
        </w:tc>
        <w:tc>
          <w:tcPr>
            <w:tcW w:w="900" w:type="dxa"/>
            <w:vAlign w:val="bottom"/>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2"/>
        </w:trPr>
        <w:tc>
          <w:tcPr>
            <w:tcW w:w="4460" w:type="dxa"/>
            <w:vAlign w:val="bottom"/>
          </w:tcPr>
          <w:p>
            <w:pPr>
              <w:spacing w:after="0"/>
              <w:rPr>
                <w:sz w:val="20"/>
                <w:szCs w:val="20"/>
                <w:color w:val="auto"/>
              </w:rPr>
            </w:pPr>
            <w:r>
              <w:rPr>
                <w:rFonts w:ascii="Arial" w:cs="Arial" w:eastAsia="Arial" w:hAnsi="Arial"/>
                <w:sz w:val="12"/>
                <w:szCs w:val="12"/>
                <w:color w:val="auto"/>
              </w:rPr>
              <w:t>Balance at December 31, 2019</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2,123,117</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4.62</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granted</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824,150</w:t>
            </w: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4460" w:type="dxa"/>
            <w:vAlign w:val="bottom"/>
          </w:tcPr>
          <w:p>
            <w:pPr>
              <w:ind w:left="160"/>
              <w:spacing w:after="0"/>
              <w:rPr>
                <w:sz w:val="20"/>
                <w:szCs w:val="20"/>
                <w:color w:val="auto"/>
              </w:rPr>
            </w:pPr>
            <w:r>
              <w:rPr>
                <w:rFonts w:ascii="Arial" w:cs="Arial" w:eastAsia="Arial" w:hAnsi="Arial"/>
                <w:sz w:val="12"/>
                <w:szCs w:val="12"/>
                <w:color w:val="auto"/>
              </w:rPr>
              <w:t>Options exercised</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(8,518)</w:t>
            </w: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1.96</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canceled/forfeited</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(101,010)</w:t>
            </w:r>
          </w:p>
        </w:tc>
        <w:tc>
          <w:tcPr>
            <w:tcW w:w="900" w:type="dxa"/>
            <w:vAlign w:val="bottom"/>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9"/>
        </w:trPr>
        <w:tc>
          <w:tcPr>
            <w:tcW w:w="44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Balance at December 31,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2,837,739</w:t>
            </w:r>
          </w:p>
        </w:tc>
        <w:tc>
          <w:tcPr>
            <w:tcW w:w="24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4.18</w:t>
            </w:r>
          </w:p>
        </w:tc>
        <w:tc>
          <w:tcPr>
            <w:tcW w:w="220" w:type="dxa"/>
            <w:vAlign w:val="bottom"/>
            <w:tcBorders>
              <w:bottom w:val="single" w:sz="8" w:color="CFF0FC"/>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7.62</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100" w:type="dxa"/>
            <w:vAlign w:val="bottom"/>
            <w:tcBorders>
              <w:bottom w:val="single" w:sz="8" w:color="CFF0FC"/>
            </w:tcBorders>
          </w:tcPr>
          <w:p>
            <w:pPr>
              <w:spacing w:after="0"/>
              <w:rPr>
                <w:sz w:val="12"/>
                <w:szCs w:val="12"/>
                <w:color w:val="auto"/>
              </w:rPr>
            </w:pPr>
          </w:p>
        </w:tc>
      </w:tr>
      <w:tr>
        <w:trPr>
          <w:trHeight w:val="17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Options vested at December 31, 2020</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1,577,255</w:t>
            </w:r>
          </w:p>
        </w:tc>
        <w:tc>
          <w:tcPr>
            <w:tcW w:w="2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5.64</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6.62</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31"/>
        </w:trPr>
        <w:tc>
          <w:tcPr>
            <w:tcW w:w="4460" w:type="dxa"/>
            <w:vAlign w:val="bottom"/>
          </w:tcPr>
          <w:p>
            <w:pPr>
              <w:spacing w:after="0" w:line="132" w:lineRule="exact"/>
              <w:rPr>
                <w:sz w:val="20"/>
                <w:szCs w:val="20"/>
                <w:color w:val="auto"/>
              </w:rPr>
            </w:pPr>
            <w:r>
              <w:rPr>
                <w:rFonts w:ascii="Arial" w:cs="Arial" w:eastAsia="Arial" w:hAnsi="Arial"/>
                <w:sz w:val="12"/>
                <w:szCs w:val="12"/>
                <w:color w:val="auto"/>
              </w:rPr>
              <w:t>Options vested and expected to vest at</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4460" w:type="dxa"/>
            <w:vAlign w:val="bottom"/>
          </w:tcPr>
          <w:p>
            <w:pPr>
              <w:ind w:left="80"/>
              <w:spacing w:after="0"/>
              <w:rPr>
                <w:sz w:val="20"/>
                <w:szCs w:val="20"/>
                <w:color w:val="auto"/>
              </w:rPr>
            </w:pPr>
            <w:r>
              <w:rPr>
                <w:rFonts w:ascii="Arial" w:cs="Arial" w:eastAsia="Arial" w:hAnsi="Arial"/>
                <w:sz w:val="12"/>
                <w:szCs w:val="12"/>
                <w:color w:val="auto"/>
              </w:rPr>
              <w:t>December 31, 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2,837,739</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w:t>
            </w:r>
          </w:p>
        </w:tc>
        <w:tc>
          <w:tcPr>
            <w:tcW w:w="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100" w:type="dxa"/>
            <w:vAlign w:val="bottom"/>
          </w:tcPr>
          <w:p>
            <w:pPr>
              <w:spacing w:after="0"/>
              <w:rPr>
                <w:sz w:val="13"/>
                <w:szCs w:val="13"/>
                <w:color w:val="auto"/>
              </w:rPr>
            </w:pPr>
          </w:p>
        </w:tc>
      </w:tr>
    </w:tbl>
    <w:p>
      <w:pPr>
        <w:spacing w:after="0" w:line="135" w:lineRule="exact"/>
        <w:rPr>
          <w:sz w:val="20"/>
          <w:szCs w:val="20"/>
          <w:color w:val="auto"/>
        </w:rPr>
      </w:pPr>
    </w:p>
    <w:p>
      <w:pPr>
        <w:ind w:firstLine="592"/>
        <w:spacing w:after="0" w:line="263" w:lineRule="auto"/>
        <w:rPr>
          <w:sz w:val="20"/>
          <w:szCs w:val="20"/>
          <w:color w:val="auto"/>
        </w:rPr>
      </w:pPr>
      <w:r>
        <w:rPr>
          <w:rFonts w:ascii="Arial" w:cs="Arial" w:eastAsia="Arial" w:hAnsi="Arial"/>
          <w:sz w:val="12"/>
          <w:szCs w:val="12"/>
          <w:color w:val="auto"/>
        </w:rPr>
        <w:t>The weighted-average grant date fair value of employee options granted was $1.76 and $1.14 per share for the years ended December 31, 2020 and December 31, 2019, respectively. At December 31, 2020 total unrecognized employee stock-based compensation was $1.8 million, which is expected to be recognized over the weighted-average remaining vesting period of 2.7 years. The intrinsic value of options exercised during the year ended December 31, 2020 was approximately $10,000.</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Units</w:t>
      </w:r>
    </w:p>
    <w:p>
      <w:pPr>
        <w:spacing w:after="0" w:line="82" w:lineRule="exact"/>
        <w:rPr>
          <w:sz w:val="20"/>
          <w:szCs w:val="20"/>
          <w:color w:val="auto"/>
        </w:rPr>
      </w:pPr>
    </w:p>
    <w:p>
      <w:pPr>
        <w:jc w:val="both"/>
        <w:ind w:right="20" w:firstLine="592"/>
        <w:spacing w:after="0" w:line="263" w:lineRule="auto"/>
        <w:rPr>
          <w:sz w:val="20"/>
          <w:szCs w:val="20"/>
          <w:color w:val="auto"/>
        </w:rPr>
      </w:pPr>
      <w:r>
        <w:rPr>
          <w:rFonts w:ascii="Arial" w:cs="Arial" w:eastAsia="Arial" w:hAnsi="Arial"/>
          <w:sz w:val="12"/>
          <w:szCs w:val="12"/>
          <w:color w:val="auto"/>
        </w:rPr>
        <w:t>There were 751,633 and 61,218 restricted stock units granted by the Company during the years ended December 31, 2020 and December 31, 2019,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following table summarizes restricted stock unit transactions for the years ended December 31, 2020 and 2019 as issued under the 2014 Plan:</w:t>
      </w:r>
    </w:p>
    <w:p>
      <w:pPr>
        <w:spacing w:after="0" w:line="38" w:lineRule="exact"/>
        <w:rPr>
          <w:sz w:val="20"/>
          <w:szCs w:val="20"/>
          <w:color w:val="auto"/>
        </w:rPr>
      </w:pPr>
    </w:p>
    <w:tbl>
      <w:tblPr>
        <w:tblLayout w:type="fixed"/>
        <w:tblInd w:w="600" w:type="dxa"/>
        <w:tblCellMar>
          <w:top w:w="0" w:type="dxa"/>
          <w:left w:w="0" w:type="dxa"/>
          <w:bottom w:w="0" w:type="dxa"/>
          <w:right w:w="0" w:type="dxa"/>
        </w:tblCellMar>
      </w:tblPr>
      <w:tr>
        <w:trPr>
          <w:trHeight w:val="115"/>
        </w:trPr>
        <w:tc>
          <w:tcPr>
            <w:tcW w:w="7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6"/>
              </w:rPr>
              <w:t>Weighted-</w:t>
            </w:r>
          </w:p>
        </w:tc>
      </w:tr>
      <w:tr>
        <w:trPr>
          <w:trHeight w:val="99"/>
        </w:trPr>
        <w:tc>
          <w:tcPr>
            <w:tcW w:w="7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7540" w:type="dxa"/>
            <w:vAlign w:val="bottom"/>
          </w:tcPr>
          <w:p>
            <w:pPr>
              <w:spacing w:after="0"/>
              <w:rPr>
                <w:sz w:val="8"/>
                <w:szCs w:val="8"/>
                <w:color w:val="auto"/>
              </w:rPr>
            </w:pPr>
          </w:p>
        </w:tc>
        <w:tc>
          <w:tcPr>
            <w:tcW w:w="1360" w:type="dxa"/>
            <w:vAlign w:val="bottom"/>
            <w:gridSpan w:val="2"/>
          </w:tcPr>
          <w:p>
            <w:pPr>
              <w:jc w:val="right"/>
              <w:ind w:right="600"/>
              <w:spacing w:after="0" w:line="99"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8"/>
                <w:szCs w:val="8"/>
                <w:color w:val="auto"/>
              </w:rPr>
            </w:pPr>
          </w:p>
        </w:tc>
        <w:tc>
          <w:tcPr>
            <w:tcW w:w="110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9"/>
              </w:rPr>
              <w:t>Grant-Date Fair Value</w:t>
            </w:r>
          </w:p>
        </w:tc>
      </w:tr>
      <w:tr>
        <w:trPr>
          <w:trHeight w:val="113"/>
        </w:trPr>
        <w:tc>
          <w:tcPr>
            <w:tcW w:w="754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right"/>
              <w:ind w:right="22"/>
              <w:spacing w:after="0" w:line="114" w:lineRule="exact"/>
              <w:rPr>
                <w:sz w:val="20"/>
                <w:szCs w:val="20"/>
                <w:color w:val="auto"/>
              </w:rPr>
            </w:pPr>
            <w:r>
              <w:rPr>
                <w:rFonts w:ascii="Arial" w:cs="Arial" w:eastAsia="Arial" w:hAnsi="Arial"/>
                <w:sz w:val="10"/>
                <w:szCs w:val="10"/>
                <w:b w:val="1"/>
                <w:bCs w:val="1"/>
                <w:color w:val="auto"/>
                <w:w w:val="91"/>
              </w:rPr>
              <w:t>Restricted Stock Units</w:t>
            </w:r>
          </w:p>
        </w:tc>
        <w:tc>
          <w:tcPr>
            <w:tcW w:w="28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center"/>
              <w:ind w:right="45"/>
              <w:spacing w:after="0" w:line="114" w:lineRule="exact"/>
              <w:rPr>
                <w:sz w:val="20"/>
                <w:szCs w:val="20"/>
                <w:color w:val="auto"/>
              </w:rPr>
            </w:pPr>
            <w:r>
              <w:rPr>
                <w:rFonts w:ascii="Arial" w:cs="Arial" w:eastAsia="Arial" w:hAnsi="Arial"/>
                <w:sz w:val="10"/>
                <w:szCs w:val="10"/>
                <w:b w:val="1"/>
                <w:bCs w:val="1"/>
                <w:color w:val="auto"/>
                <w:w w:val="86"/>
              </w:rPr>
              <w:t>per Share</w:t>
            </w:r>
          </w:p>
        </w:tc>
        <w:tc>
          <w:tcPr>
            <w:tcW w:w="80" w:type="dxa"/>
            <w:vAlign w:val="bottom"/>
            <w:tcBorders>
              <w:bottom w:val="single" w:sz="8" w:color="CFF0FC"/>
            </w:tcBorders>
          </w:tcPr>
          <w:p>
            <w:pPr>
              <w:spacing w:after="0"/>
              <w:rPr>
                <w:sz w:val="9"/>
                <w:szCs w:val="9"/>
                <w:color w:val="auto"/>
              </w:rPr>
            </w:pPr>
          </w:p>
        </w:tc>
      </w:tr>
      <w:tr>
        <w:trPr>
          <w:trHeight w:val="142"/>
        </w:trPr>
        <w:tc>
          <w:tcPr>
            <w:tcW w:w="75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January 1, 2019</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3"/>
        </w:trPr>
        <w:tc>
          <w:tcPr>
            <w:tcW w:w="7540" w:type="dxa"/>
            <w:vAlign w:val="bottom"/>
          </w:tcPr>
          <w:p>
            <w:pPr>
              <w:ind w:left="160"/>
              <w:spacing w:after="0"/>
              <w:rPr>
                <w:sz w:val="20"/>
                <w:szCs w:val="20"/>
                <w:color w:val="auto"/>
              </w:rPr>
            </w:pPr>
            <w:r>
              <w:rPr>
                <w:rFonts w:ascii="Arial" w:cs="Arial" w:eastAsia="Arial" w:hAnsi="Arial"/>
                <w:sz w:val="12"/>
                <w:szCs w:val="12"/>
                <w:color w:val="auto"/>
              </w:rPr>
              <w:t>Restricted stock units granted</w:t>
            </w:r>
          </w:p>
        </w:tc>
        <w:tc>
          <w:tcPr>
            <w:tcW w:w="1080" w:type="dxa"/>
            <w:vAlign w:val="bottom"/>
          </w:tcPr>
          <w:p>
            <w:pPr>
              <w:jc w:val="right"/>
              <w:spacing w:after="0"/>
              <w:rPr>
                <w:sz w:val="20"/>
                <w:szCs w:val="20"/>
                <w:color w:val="auto"/>
              </w:rPr>
            </w:pPr>
            <w:r>
              <w:rPr>
                <w:rFonts w:ascii="Arial" w:cs="Arial" w:eastAsia="Arial" w:hAnsi="Arial"/>
                <w:sz w:val="12"/>
                <w:szCs w:val="12"/>
                <w:color w:val="auto"/>
              </w:rPr>
              <w:t>61,218</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2.17</w:t>
            </w:r>
          </w:p>
        </w:tc>
        <w:tc>
          <w:tcPr>
            <w:tcW w:w="80" w:type="dxa"/>
            <w:vAlign w:val="bottom"/>
          </w:tcPr>
          <w:p>
            <w:pPr>
              <w:spacing w:after="0"/>
              <w:rPr>
                <w:sz w:val="13"/>
                <w:szCs w:val="13"/>
                <w:color w:val="auto"/>
              </w:rPr>
            </w:pPr>
          </w:p>
        </w:tc>
      </w:tr>
      <w:tr>
        <w:trPr>
          <w:trHeight w:val="153"/>
        </w:trPr>
        <w:tc>
          <w:tcPr>
            <w:tcW w:w="7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stock units vested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(61,218)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w:t>
            </w:r>
          </w:p>
        </w:tc>
        <w:tc>
          <w:tcPr>
            <w:tcW w:w="80" w:type="dxa"/>
            <w:vAlign w:val="bottom"/>
            <w:shd w:val="clear" w:color="auto" w:fill="CFF0FC"/>
          </w:tcPr>
          <w:p>
            <w:pPr>
              <w:spacing w:after="0"/>
              <w:rPr>
                <w:sz w:val="13"/>
                <w:szCs w:val="13"/>
                <w:color w:val="auto"/>
              </w:rPr>
            </w:pPr>
          </w:p>
        </w:tc>
      </w:tr>
      <w:tr>
        <w:trPr>
          <w:trHeight w:val="142"/>
        </w:trPr>
        <w:tc>
          <w:tcPr>
            <w:tcW w:w="7540" w:type="dxa"/>
            <w:vAlign w:val="bottom"/>
          </w:tcPr>
          <w:p>
            <w:pPr>
              <w:spacing w:after="0"/>
              <w:rPr>
                <w:sz w:val="20"/>
                <w:szCs w:val="20"/>
                <w:color w:val="auto"/>
              </w:rPr>
            </w:pPr>
            <w:r>
              <w:rPr>
                <w:rFonts w:ascii="Arial" w:cs="Arial" w:eastAsia="Arial" w:hAnsi="Arial"/>
                <w:sz w:val="12"/>
                <w:szCs w:val="12"/>
                <w:color w:val="auto"/>
              </w:rPr>
              <w:t>Outstanding at December 31, 2019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7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stock units 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751,633</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w:t>
            </w:r>
          </w:p>
        </w:tc>
        <w:tc>
          <w:tcPr>
            <w:tcW w:w="80" w:type="dxa"/>
            <w:vAlign w:val="bottom"/>
            <w:shd w:val="clear" w:color="auto" w:fill="CFF0FC"/>
          </w:tcPr>
          <w:p>
            <w:pPr>
              <w:spacing w:after="0"/>
              <w:rPr>
                <w:sz w:val="13"/>
                <w:szCs w:val="13"/>
                <w:color w:val="auto"/>
              </w:rPr>
            </w:pPr>
          </w:p>
        </w:tc>
      </w:tr>
      <w:tr>
        <w:trPr>
          <w:trHeight w:val="153"/>
        </w:trPr>
        <w:tc>
          <w:tcPr>
            <w:tcW w:w="7540" w:type="dxa"/>
            <w:vAlign w:val="bottom"/>
          </w:tcPr>
          <w:p>
            <w:pPr>
              <w:ind w:left="160"/>
              <w:spacing w:after="0"/>
              <w:rPr>
                <w:sz w:val="20"/>
                <w:szCs w:val="20"/>
                <w:color w:val="auto"/>
              </w:rPr>
            </w:pPr>
            <w:r>
              <w:rPr>
                <w:rFonts w:ascii="Arial" w:cs="Arial" w:eastAsia="Arial" w:hAnsi="Arial"/>
                <w:sz w:val="12"/>
                <w:szCs w:val="12"/>
                <w:color w:val="auto"/>
              </w:rPr>
              <w:t>Restricted stock units vested</w:t>
            </w:r>
          </w:p>
        </w:tc>
        <w:tc>
          <w:tcPr>
            <w:tcW w:w="1360" w:type="dxa"/>
            <w:vAlign w:val="bottom"/>
            <w:gridSpan w:val="2"/>
          </w:tcPr>
          <w:p>
            <w:pPr>
              <w:jc w:val="right"/>
              <w:ind w:right="240"/>
              <w:spacing w:after="0"/>
              <w:rPr>
                <w:sz w:val="20"/>
                <w:szCs w:val="20"/>
                <w:color w:val="auto"/>
              </w:rPr>
            </w:pPr>
            <w:r>
              <w:rPr>
                <w:rFonts w:ascii="Arial" w:cs="Arial" w:eastAsia="Arial" w:hAnsi="Arial"/>
                <w:sz w:val="12"/>
                <w:szCs w:val="12"/>
                <w:color w:val="auto"/>
              </w:rPr>
              <w:t>(103,133)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2.60</w:t>
            </w:r>
          </w:p>
        </w:tc>
        <w:tc>
          <w:tcPr>
            <w:tcW w:w="80" w:type="dxa"/>
            <w:vAlign w:val="bottom"/>
          </w:tcPr>
          <w:p>
            <w:pPr>
              <w:spacing w:after="0"/>
              <w:rPr>
                <w:sz w:val="13"/>
                <w:szCs w:val="13"/>
                <w:color w:val="auto"/>
              </w:rPr>
            </w:pPr>
          </w:p>
        </w:tc>
      </w:tr>
      <w:tr>
        <w:trPr>
          <w:trHeight w:val="153"/>
        </w:trPr>
        <w:tc>
          <w:tcPr>
            <w:tcW w:w="7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stock units cancelled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(67,500)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80" w:type="dxa"/>
            <w:vAlign w:val="bottom"/>
            <w:shd w:val="clear" w:color="auto" w:fill="CFF0FC"/>
          </w:tcPr>
          <w:p>
            <w:pPr>
              <w:spacing w:after="0"/>
              <w:rPr>
                <w:sz w:val="13"/>
                <w:szCs w:val="13"/>
                <w:color w:val="auto"/>
              </w:rPr>
            </w:pPr>
          </w:p>
        </w:tc>
      </w:tr>
      <w:tr>
        <w:trPr>
          <w:trHeight w:val="149"/>
        </w:trPr>
        <w:tc>
          <w:tcPr>
            <w:tcW w:w="7540" w:type="dxa"/>
            <w:vAlign w:val="bottom"/>
          </w:tcPr>
          <w:p>
            <w:pPr>
              <w:spacing w:after="0"/>
              <w:rPr>
                <w:sz w:val="20"/>
                <w:szCs w:val="20"/>
                <w:color w:val="auto"/>
              </w:rPr>
            </w:pPr>
            <w:r>
              <w:rPr>
                <w:rFonts w:ascii="Arial" w:cs="Arial" w:eastAsia="Arial" w:hAnsi="Arial"/>
                <w:sz w:val="12"/>
                <w:szCs w:val="12"/>
                <w:color w:val="auto"/>
              </w:rPr>
              <w:t>Outstanding at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581,000</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3.85</w:t>
            </w:r>
          </w:p>
        </w:tc>
        <w:tc>
          <w:tcPr>
            <w:tcW w:w="80" w:type="dxa"/>
            <w:vAlign w:val="bottom"/>
          </w:tcPr>
          <w:p>
            <w:pPr>
              <w:spacing w:after="0"/>
              <w:rPr>
                <w:sz w:val="12"/>
                <w:szCs w:val="12"/>
                <w:color w:val="auto"/>
              </w:rPr>
            </w:pPr>
          </w:p>
        </w:tc>
      </w:tr>
    </w:tbl>
    <w:p>
      <w:pPr>
        <w:spacing w:after="0" w:line="279" w:lineRule="exact"/>
        <w:rPr>
          <w:sz w:val="20"/>
          <w:szCs w:val="20"/>
          <w:color w:val="auto"/>
        </w:rPr>
      </w:pPr>
    </w:p>
    <w:p>
      <w:pPr>
        <w:ind w:right="580" w:firstLine="592"/>
        <w:spacing w:after="0" w:line="323" w:lineRule="auto"/>
        <w:rPr>
          <w:sz w:val="20"/>
          <w:szCs w:val="20"/>
          <w:color w:val="auto"/>
        </w:rPr>
      </w:pPr>
      <w:r>
        <w:rPr>
          <w:rFonts w:ascii="Arial" w:cs="Arial" w:eastAsia="Arial" w:hAnsi="Arial"/>
          <w:sz w:val="11"/>
          <w:szCs w:val="11"/>
          <w:color w:val="auto"/>
        </w:rPr>
        <w:t>The fair value of all restricted stock units vested during the year ended December 31, 2020 and 2019 was $0.3 million and $0.1 million, respectively. At December 31, 2020 total unrecognized employee stock-based compensation related to restricted stock units was $1.7 million, which is expected to be recognized over the weighted-average remaining vesting period of 3.1 years.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60"/>
          </w:cols>
          <w:pgMar w:left="300" w:top="419" w:right="439" w:bottom="1440" w:gutter="0" w:footer="0" w:header="0"/>
        </w:sectPr>
      </w:pPr>
    </w:p>
    <w:bookmarkStart w:id="84" w:name="page85"/>
    <w:bookmarkEnd w:id="84"/>
    <w:p>
      <w:pPr>
        <w:spacing w:after="0"/>
        <w:rPr>
          <w:sz w:val="20"/>
          <w:szCs w:val="20"/>
          <w:color w:val="auto"/>
        </w:rPr>
      </w:pPr>
      <w:r>
        <w:rPr>
          <w:rFonts w:ascii="Arial" w:cs="Arial" w:eastAsia="Arial" w:hAnsi="Arial"/>
          <w:sz w:val="12"/>
          <w:szCs w:val="12"/>
          <w:b w:val="1"/>
          <w:bCs w:val="1"/>
          <w:i w:val="1"/>
          <w:iCs w:val="1"/>
          <w:color w:val="auto"/>
        </w:rPr>
        <w:t>2014 Employee Stock Purchase Plan</w:t>
      </w:r>
    </w:p>
    <w:p>
      <w:pPr>
        <w:spacing w:after="0" w:line="78" w:lineRule="exact"/>
        <w:rPr>
          <w:sz w:val="20"/>
          <w:szCs w:val="20"/>
          <w:color w:val="auto"/>
        </w:rPr>
      </w:pPr>
    </w:p>
    <w:p>
      <w:pPr>
        <w:ind w:right="120" w:firstLine="592"/>
        <w:spacing w:after="0" w:line="298" w:lineRule="auto"/>
        <w:rPr>
          <w:sz w:val="20"/>
          <w:szCs w:val="20"/>
          <w:color w:val="auto"/>
        </w:rPr>
      </w:pPr>
      <w:r>
        <w:rPr>
          <w:rFonts w:ascii="Arial" w:cs="Arial" w:eastAsia="Arial" w:hAnsi="Arial"/>
          <w:sz w:val="11"/>
          <w:szCs w:val="11"/>
          <w:color w:val="auto"/>
        </w:rPr>
        <w:t>The Company’s board of directors and stockholders have adopted the 2014 Employee Stock Purchase Plan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33" w:lineRule="exact"/>
        <w:rPr>
          <w:sz w:val="20"/>
          <w:szCs w:val="20"/>
          <w:color w:val="auto"/>
        </w:rPr>
      </w:pPr>
    </w:p>
    <w:p>
      <w:pPr>
        <w:ind w:left="1020" w:hanging="443"/>
        <w:spacing w:after="0"/>
        <w:tabs>
          <w:tab w:leader="none" w:pos="10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1.0% of the outstanding shares of the Company’s common stock on the first day of such year;</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55,936 shares; or</w:t>
      </w:r>
    </w:p>
    <w:p>
      <w:pPr>
        <w:spacing w:after="0" w:line="96" w:lineRule="exact"/>
        <w:rPr>
          <w:rFonts w:ascii="Arial" w:cs="Arial" w:eastAsia="Arial" w:hAnsi="Arial"/>
          <w:sz w:val="12"/>
          <w:szCs w:val="12"/>
          <w:color w:val="auto"/>
        </w:rPr>
      </w:pPr>
    </w:p>
    <w:p>
      <w:pPr>
        <w:ind w:left="1020" w:hanging="443"/>
        <w:spacing w:after="0"/>
        <w:tabs>
          <w:tab w:leader="none" w:pos="10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such amount as determined by the board of directors.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As of December 31, 2020, there were no purchases by employees under this plan.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D Warrants</w:t>
      </w:r>
    </w:p>
    <w:p>
      <w:pPr>
        <w:spacing w:after="0" w:line="78" w:lineRule="exact"/>
        <w:rPr>
          <w:sz w:val="20"/>
          <w:szCs w:val="20"/>
          <w:color w:val="auto"/>
        </w:rPr>
      </w:pPr>
    </w:p>
    <w:p>
      <w:pPr>
        <w:ind w:right="140" w:firstLine="592"/>
        <w:spacing w:after="0" w:line="276" w:lineRule="auto"/>
        <w:rPr>
          <w:sz w:val="20"/>
          <w:szCs w:val="20"/>
          <w:color w:val="auto"/>
        </w:rPr>
      </w:pPr>
      <w:r>
        <w:rPr>
          <w:rFonts w:ascii="Arial" w:cs="Arial" w:eastAsia="Arial" w:hAnsi="Arial"/>
          <w:sz w:val="12"/>
          <w:szCs w:val="12"/>
          <w:color w:val="auto"/>
        </w:rPr>
        <w:t>The Company issued 256,064 Series D Warrants in October 2015, which were exercisable into 586,182 shares of the Company’s common stock, with an exercise price of $12.30. The warrants expired on October 15, 2020 and no warrants were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Treatment</w:t>
      </w:r>
    </w:p>
    <w:p>
      <w:pPr>
        <w:spacing w:after="0" w:line="78"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 xml:space="preserve">The Company has accounted for the Series D Warrants in accordance with the guidance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The Company was not required under any circumstance to settle any Series D Warrant exercise for cash. The Company therefore classified the value of the Series D Warrants as permanent equity.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Common Stock Warrants</w:t>
      </w:r>
    </w:p>
    <w:p>
      <w:pPr>
        <w:spacing w:after="0" w:line="78" w:lineRule="exact"/>
        <w:rPr>
          <w:sz w:val="20"/>
          <w:szCs w:val="20"/>
          <w:color w:val="auto"/>
        </w:rPr>
      </w:pPr>
    </w:p>
    <w:p>
      <w:pPr>
        <w:ind w:right="260" w:firstLine="592"/>
        <w:spacing w:after="0" w:line="323" w:lineRule="auto"/>
        <w:rPr>
          <w:sz w:val="20"/>
          <w:szCs w:val="20"/>
          <w:color w:val="auto"/>
        </w:rPr>
      </w:pPr>
      <w:r>
        <w:rPr>
          <w:rFonts w:ascii="Arial" w:cs="Arial" w:eastAsia="Arial" w:hAnsi="Arial"/>
          <w:sz w:val="11"/>
          <w:szCs w:val="11"/>
          <w:color w:val="auto"/>
        </w:rPr>
        <w:t>As of December 31, 2020, the Company had 102,070 common stock warrants outstanding from the 2010/2012 convertible notes, with an exercise price of $24.35 and a term of 10 years expiring in November 2024. The Company also had outstanding 16,500 common stock warrants issued to the underwriter in the Company’s IPO, with an exercise price of $35.70 and a term of 10 years, expiring in November 2024.</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Income Taxes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geographical distribution of loss before income taxes are summarized below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2540" w:type="dxa"/>
            <w:vAlign w:val="bottom"/>
            <w:tcBorders>
              <w:bottom w:val="single" w:sz="8" w:color="CFF0FC"/>
            </w:tcBorders>
          </w:tcPr>
          <w:p>
            <w:pPr>
              <w:spacing w:after="0"/>
              <w:rPr>
                <w:sz w:val="8"/>
                <w:szCs w:val="8"/>
                <w:color w:val="auto"/>
              </w:rPr>
            </w:pPr>
          </w:p>
        </w:tc>
        <w:tc>
          <w:tcPr>
            <w:tcW w:w="290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356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(22,197)</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(30,729)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gridSpan w:val="2"/>
          </w:tcPr>
          <w:p>
            <w:pPr>
              <w:ind w:left="1680"/>
              <w:spacing w:after="0"/>
              <w:rPr>
                <w:sz w:val="20"/>
                <w:szCs w:val="20"/>
                <w:color w:val="auto"/>
              </w:rPr>
            </w:pPr>
            <w:r>
              <w:rPr>
                <w:rFonts w:ascii="Arial" w:cs="Arial" w:eastAsia="Arial" w:hAnsi="Arial"/>
                <w:sz w:val="12"/>
                <w:szCs w:val="12"/>
                <w:color w:val="auto"/>
              </w:rPr>
              <w:t>Foreign</w:t>
            </w:r>
          </w:p>
        </w:tc>
        <w:tc>
          <w:tcPr>
            <w:tcW w:w="2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(2,442)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(45)</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29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tcPr>
          <w:p>
            <w:pPr>
              <w:spacing w:after="0"/>
              <w:rPr>
                <w:sz w:val="14"/>
                <w:szCs w:val="14"/>
                <w:color w:val="auto"/>
              </w:rPr>
            </w:pPr>
          </w:p>
        </w:tc>
        <w:tc>
          <w:tcPr>
            <w:tcW w:w="2540" w:type="dxa"/>
            <w:vAlign w:val="bottom"/>
            <w:vMerge w:val="continue"/>
            <w:shd w:val="clear" w:color="auto" w:fill="CFF0FC"/>
          </w:tcPr>
          <w:p>
            <w:pPr>
              <w:spacing w:after="0"/>
              <w:rPr>
                <w:sz w:val="14"/>
                <w:szCs w:val="14"/>
                <w:color w:val="auto"/>
              </w:rPr>
            </w:pPr>
          </w:p>
        </w:tc>
        <w:tc>
          <w:tcPr>
            <w:tcW w:w="3560" w:type="dxa"/>
            <w:vAlign w:val="bottom"/>
            <w:gridSpan w:val="2"/>
            <w:shd w:val="clear" w:color="auto" w:fill="CFF0FC"/>
          </w:tcPr>
          <w:p>
            <w:pPr>
              <w:jc w:val="right"/>
              <w:ind w:right="55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(24,639)</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(30,774)</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3"/>
        </w:trPr>
        <w:tc>
          <w:tcPr>
            <w:tcW w:w="1700" w:type="dxa"/>
            <w:vAlign w:val="bottom"/>
          </w:tcPr>
          <w:p>
            <w:pPr>
              <w:spacing w:after="0"/>
              <w:rPr>
                <w:sz w:val="24"/>
                <w:szCs w:val="24"/>
                <w:color w:val="auto"/>
              </w:rPr>
            </w:pPr>
          </w:p>
        </w:tc>
        <w:tc>
          <w:tcPr>
            <w:tcW w:w="254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1380"/>
              <w:spacing w:after="0"/>
              <w:rPr>
                <w:sz w:val="20"/>
                <w:szCs w:val="20"/>
                <w:color w:val="auto"/>
              </w:rPr>
            </w:pPr>
            <w:r>
              <w:rPr>
                <w:rFonts w:ascii="Arial" w:cs="Arial" w:eastAsia="Arial" w:hAnsi="Arial"/>
                <w:sz w:val="12"/>
                <w:szCs w:val="12"/>
                <w:color w:val="auto"/>
              </w:rPr>
              <w:t>83</w:t>
            </w:r>
          </w:p>
        </w:tc>
        <w:tc>
          <w:tcPr>
            <w:tcW w:w="6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2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91" w:right="279" w:bottom="1440" w:gutter="0" w:footer="0" w:header="0"/>
        </w:sectPr>
      </w:pPr>
    </w:p>
    <w:bookmarkStart w:id="85" w:name="page86"/>
    <w:bookmarkEnd w:id="85"/>
    <w:p>
      <w:pPr>
        <w:ind w:left="580"/>
        <w:spacing w:after="0"/>
        <w:rPr>
          <w:sz w:val="20"/>
          <w:szCs w:val="20"/>
          <w:color w:val="auto"/>
        </w:rPr>
      </w:pPr>
      <w:r>
        <w:rPr>
          <w:rFonts w:ascii="Arial" w:cs="Arial" w:eastAsia="Arial" w:hAnsi="Arial"/>
          <w:sz w:val="12"/>
          <w:szCs w:val="12"/>
          <w:color w:val="auto"/>
        </w:rPr>
        <w:t>The provision for income tax benefit differs from the amount estimated by applying the statutory federal income tax rate to the operating loss due to the following (in thousands).</w:t>
      </w:r>
    </w:p>
    <w:p>
      <w:pPr>
        <w:spacing w:after="0" w:line="19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80" w:type="dxa"/>
            <w:vAlign w:val="bottom"/>
            <w:tcBorders>
              <w:bottom w:val="single" w:sz="8" w:color="CFF0FC"/>
            </w:tcBorders>
          </w:tcPr>
          <w:p>
            <w:pPr>
              <w:spacing w:after="0"/>
              <w:rPr>
                <w:sz w:val="8"/>
                <w:szCs w:val="8"/>
                <w:color w:val="auto"/>
              </w:rPr>
            </w:pPr>
          </w:p>
        </w:tc>
        <w:tc>
          <w:tcPr>
            <w:tcW w:w="1460" w:type="dxa"/>
            <w:vAlign w:val="bottom"/>
            <w:tcBorders>
              <w:bottom w:val="single" w:sz="8" w:color="CFF0FC"/>
            </w:tcBorders>
          </w:tcPr>
          <w:p>
            <w:pPr>
              <w:spacing w:after="0"/>
              <w:rPr>
                <w:sz w:val="8"/>
                <w:szCs w:val="8"/>
                <w:color w:val="auto"/>
              </w:rPr>
            </w:pPr>
          </w:p>
        </w:tc>
        <w:tc>
          <w:tcPr>
            <w:tcW w:w="700" w:type="dxa"/>
            <w:vAlign w:val="bottom"/>
            <w:tcBorders>
              <w:bottom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FF0FC"/>
          </w:tcPr>
          <w:p>
            <w:pPr>
              <w:spacing w:after="0" w:line="133" w:lineRule="exact"/>
              <w:rPr>
                <w:sz w:val="20"/>
                <w:szCs w:val="20"/>
                <w:color w:val="auto"/>
              </w:rPr>
            </w:pPr>
            <w:r>
              <w:rPr>
                <w:rFonts w:ascii="Arial" w:cs="Arial" w:eastAsia="Arial" w:hAnsi="Arial"/>
                <w:sz w:val="12"/>
                <w:szCs w:val="12"/>
                <w:color w:val="auto"/>
              </w:rPr>
              <w:t>Tax on the loss before income tax expense computed</w:t>
            </w:r>
          </w:p>
        </w:tc>
        <w:tc>
          <w:tcPr>
            <w:tcW w:w="1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80"/>
              <w:spacing w:after="0"/>
              <w:rPr>
                <w:sz w:val="20"/>
                <w:szCs w:val="20"/>
                <w:color w:val="auto"/>
              </w:rPr>
            </w:pPr>
            <w:r>
              <w:rPr>
                <w:rFonts w:ascii="Arial" w:cs="Arial" w:eastAsia="Arial" w:hAnsi="Arial"/>
                <w:sz w:val="12"/>
                <w:szCs w:val="12"/>
                <w:color w:val="auto"/>
              </w:rPr>
              <w:t>at the federal statutory rate</w:t>
            </w:r>
          </w:p>
        </w:tc>
        <w:tc>
          <w:tcPr>
            <w:tcW w:w="216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(5,174)</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(6,463)</w:t>
            </w: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Arial" w:cs="Arial" w:eastAsia="Arial" w:hAnsi="Arial"/>
                <w:sz w:val="12"/>
                <w:szCs w:val="12"/>
                <w:color w:val="auto"/>
              </w:rPr>
              <w:t>State tax (benefit) at statutory rate, net of federal</w:t>
            </w: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80"/>
              <w:spacing w:after="0"/>
              <w:rPr>
                <w:sz w:val="20"/>
                <w:szCs w:val="20"/>
                <w:color w:val="auto"/>
              </w:rPr>
            </w:pPr>
            <w:r>
              <w:rPr>
                <w:rFonts w:ascii="Arial" w:cs="Arial" w:eastAsia="Arial" w:hAnsi="Arial"/>
                <w:sz w:val="12"/>
                <w:szCs w:val="12"/>
                <w:color w:val="auto"/>
              </w:rPr>
              <w:t>benefit</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(2,293)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(1,691)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Foreign rate differential</w:t>
            </w:r>
          </w:p>
        </w:tc>
        <w:tc>
          <w:tcPr>
            <w:tcW w:w="1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Change in valuation allowance</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8,231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6,696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Change in research and development credits</w:t>
            </w:r>
          </w:p>
        </w:tc>
        <w:tc>
          <w:tcPr>
            <w:tcW w:w="1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(303)</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Stock based compensation—ISOs</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Change in fair value of warrants</w:t>
            </w:r>
          </w:p>
        </w:tc>
        <w:tc>
          <w:tcPr>
            <w:tcW w:w="1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(2,444)</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Change in fair value of contingent consideration</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Change in net operating loss true up</w:t>
            </w:r>
          </w:p>
        </w:tc>
        <w:tc>
          <w:tcPr>
            <w:tcW w:w="1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(725)</w:t>
            </w: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Change in state rate true up</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Change in temporary difference true up</w:t>
            </w:r>
          </w:p>
        </w:tc>
        <w:tc>
          <w:tcPr>
            <w:tcW w:w="14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Other</w:t>
            </w:r>
          </w:p>
        </w:tc>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Provision for income tax benefit</w:t>
            </w:r>
          </w:p>
        </w:tc>
        <w:tc>
          <w:tcPr>
            <w:tcW w:w="1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vMerge w:val="continue"/>
            <w:shd w:val="clear" w:color="auto" w:fill="CFF0FC"/>
          </w:tcPr>
          <w:p>
            <w:pPr>
              <w:spacing w:after="0"/>
              <w:rPr>
                <w:sz w:val="12"/>
                <w:szCs w:val="12"/>
                <w:color w:val="auto"/>
              </w:rPr>
            </w:pPr>
          </w:p>
        </w:tc>
        <w:tc>
          <w:tcPr>
            <w:tcW w:w="216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2020 and 2019 (in thousands).</w:t>
      </w:r>
    </w:p>
    <w:p>
      <w:pPr>
        <w:spacing w:after="0" w:line="162"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80" w:type="dxa"/>
            <w:vAlign w:val="bottom"/>
            <w:tcBorders>
              <w:bottom w:val="single" w:sz="8" w:color="CFF0FC"/>
            </w:tcBorders>
          </w:tcPr>
          <w:p>
            <w:pPr>
              <w:spacing w:after="0"/>
              <w:rPr>
                <w:sz w:val="8"/>
                <w:szCs w:val="8"/>
                <w:color w:val="auto"/>
              </w:rPr>
            </w:pPr>
          </w:p>
        </w:tc>
        <w:tc>
          <w:tcPr>
            <w:tcW w:w="146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Non-current deferred tax assets:</w:t>
            </w:r>
          </w:p>
        </w:tc>
        <w:tc>
          <w:tcPr>
            <w:tcW w:w="14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160"/>
              <w:spacing w:after="0"/>
              <w:rPr>
                <w:sz w:val="20"/>
                <w:szCs w:val="20"/>
                <w:color w:val="auto"/>
              </w:rPr>
            </w:pPr>
            <w:r>
              <w:rPr>
                <w:rFonts w:ascii="Arial" w:cs="Arial" w:eastAsia="Arial" w:hAnsi="Arial"/>
                <w:sz w:val="12"/>
                <w:szCs w:val="12"/>
                <w:color w:val="auto"/>
              </w:rPr>
              <w:t>Federal and state net operating loss carryforwards</w:t>
            </w:r>
          </w:p>
        </w:tc>
        <w:tc>
          <w:tcPr>
            <w:tcW w:w="212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41,999</w:t>
            </w:r>
          </w:p>
        </w:tc>
        <w:tc>
          <w:tcPr>
            <w:tcW w:w="2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35,091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other credits</w:t>
            </w:r>
          </w:p>
        </w:tc>
        <w:tc>
          <w:tcPr>
            <w:tcW w:w="14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2,803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160"/>
              <w:spacing w:after="0"/>
              <w:rPr>
                <w:sz w:val="20"/>
                <w:szCs w:val="20"/>
                <w:color w:val="auto"/>
              </w:rPr>
            </w:pPr>
            <w:r>
              <w:rPr>
                <w:rFonts w:ascii="Arial" w:cs="Arial" w:eastAsia="Arial" w:hAnsi="Arial"/>
                <w:sz w:val="12"/>
                <w:szCs w:val="12"/>
                <w:color w:val="auto"/>
              </w:rPr>
              <w:t>Reserves and accruals</w:t>
            </w: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236</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Fixed assets</w:t>
            </w:r>
          </w:p>
        </w:tc>
        <w:tc>
          <w:tcPr>
            <w:tcW w:w="14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160"/>
              <w:spacing w:after="0"/>
              <w:rPr>
                <w:sz w:val="20"/>
                <w:szCs w:val="20"/>
                <w:color w:val="auto"/>
              </w:rPr>
            </w:pPr>
            <w:r>
              <w:rPr>
                <w:rFonts w:ascii="Arial" w:cs="Arial" w:eastAsia="Arial" w:hAnsi="Arial"/>
                <w:sz w:val="12"/>
                <w:szCs w:val="12"/>
                <w:color w:val="auto"/>
              </w:rPr>
              <w:t>Capital loss carryover</w:t>
            </w: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1,115</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Stock based compensation</w:t>
            </w:r>
          </w:p>
        </w:tc>
        <w:tc>
          <w:tcPr>
            <w:tcW w:w="14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160"/>
              <w:spacing w:after="0"/>
              <w:rPr>
                <w:sz w:val="20"/>
                <w:szCs w:val="20"/>
                <w:color w:val="auto"/>
              </w:rPr>
            </w:pPr>
            <w:r>
              <w:rPr>
                <w:rFonts w:ascii="Arial" w:cs="Arial" w:eastAsia="Arial" w:hAnsi="Arial"/>
                <w:sz w:val="12"/>
                <w:szCs w:val="12"/>
                <w:color w:val="auto"/>
              </w:rPr>
              <w:t>Lease liability</w:t>
            </w: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deferred tax assets</w:t>
            </w:r>
          </w:p>
        </w:tc>
        <w:tc>
          <w:tcPr>
            <w:tcW w:w="146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2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320"/>
              <w:spacing w:after="0"/>
              <w:rPr>
                <w:sz w:val="20"/>
                <w:szCs w:val="20"/>
                <w:color w:val="auto"/>
              </w:rPr>
            </w:pPr>
            <w:r>
              <w:rPr>
                <w:rFonts w:ascii="Arial" w:cs="Arial" w:eastAsia="Arial" w:hAnsi="Arial"/>
                <w:sz w:val="12"/>
                <w:szCs w:val="12"/>
                <w:color w:val="auto"/>
              </w:rPr>
              <w:t>Gross non-current deferred tax assets</w:t>
            </w: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46,723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39,115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assets</w:t>
            </w:r>
          </w:p>
        </w:tc>
        <w:tc>
          <w:tcPr>
            <w:tcW w:w="14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(4,080)</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(4,623)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160"/>
              <w:spacing w:after="0"/>
              <w:rPr>
                <w:sz w:val="20"/>
                <w:szCs w:val="20"/>
                <w:color w:val="auto"/>
              </w:rPr>
            </w:pPr>
            <w:r>
              <w:rPr>
                <w:rFonts w:ascii="Arial" w:cs="Arial" w:eastAsia="Arial" w:hAnsi="Arial"/>
                <w:sz w:val="12"/>
                <w:szCs w:val="12"/>
                <w:color w:val="auto"/>
              </w:rPr>
              <w:t>Right-of-use assets</w:t>
            </w: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(39)</w:t>
            </w:r>
          </w:p>
        </w:tc>
        <w:tc>
          <w:tcPr>
            <w:tcW w:w="3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Total non-current deferred tax liabilities</w:t>
            </w:r>
          </w:p>
        </w:tc>
        <w:tc>
          <w:tcPr>
            <w:tcW w:w="14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vMerge w:val="continue"/>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(4,119)</w:t>
            </w:r>
          </w:p>
        </w:tc>
        <w:tc>
          <w:tcPr>
            <w:tcW w:w="3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(4,741)</w:t>
            </w:r>
          </w:p>
        </w:tc>
        <w:tc>
          <w:tcPr>
            <w:tcW w:w="0" w:type="dxa"/>
            <w:vAlign w:val="bottom"/>
          </w:tcPr>
          <w:p>
            <w:pPr>
              <w:spacing w:after="0"/>
              <w:rPr>
                <w:sz w:val="1"/>
                <w:szCs w:val="1"/>
                <w:color w:val="auto"/>
              </w:rPr>
            </w:pPr>
          </w:p>
        </w:tc>
      </w:t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Total deferred tax assets</w:t>
            </w:r>
          </w:p>
        </w:tc>
        <w:tc>
          <w:tcPr>
            <w:tcW w:w="1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42,604</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34,374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14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vMerge w:val="continue"/>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8"/>
              </w:rPr>
              <w:t>(42,604)</w:t>
            </w:r>
          </w:p>
        </w:tc>
        <w:tc>
          <w:tcPr>
            <w:tcW w:w="3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(34,374)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2"/>
                <w:szCs w:val="12"/>
                <w:color w:val="auto"/>
              </w:rPr>
              <w:t>Net deferred tax assets</w:t>
            </w:r>
          </w:p>
        </w:tc>
        <w:tc>
          <w:tcPr>
            <w:tcW w:w="1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2120" w:type="dxa"/>
            <w:vAlign w:val="bottom"/>
            <w:gridSpan w:val="2"/>
          </w:tcPr>
          <w:p>
            <w:pPr>
              <w:jc w:val="right"/>
              <w:ind w:right="552"/>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480" w:firstLine="592"/>
        <w:spacing w:after="0" w:line="323" w:lineRule="auto"/>
        <w:rPr>
          <w:sz w:val="20"/>
          <w:szCs w:val="20"/>
          <w:color w:val="auto"/>
        </w:rPr>
      </w:pPr>
      <w:r>
        <w:rPr>
          <w:rFonts w:ascii="Arial" w:cs="Arial" w:eastAsia="Arial" w:hAnsi="Arial"/>
          <w:sz w:val="11"/>
          <w:szCs w:val="11"/>
          <w:color w:val="auto"/>
        </w:rPr>
        <w:t>The Company has recorded a full valuation allowance against its net deferred tax assets due to the uncertainty as to whether such assets will be realized. The valuation allowance increased by $8.2 million from December 31, 2019 to December 31, 2020 primarily due to the generation of current year net operating losses, capital losses and research and development credits claimed.</w:t>
      </w:r>
    </w:p>
    <w:p>
      <w:pPr>
        <w:spacing w:after="0" w:line="92" w:lineRule="exact"/>
        <w:rPr>
          <w:sz w:val="20"/>
          <w:szCs w:val="20"/>
          <w:color w:val="auto"/>
        </w:rPr>
      </w:pPr>
    </w:p>
    <w:p>
      <w:pPr>
        <w:ind w:right="280" w:firstLine="592"/>
        <w:spacing w:after="0" w:line="276" w:lineRule="auto"/>
        <w:rPr>
          <w:sz w:val="20"/>
          <w:szCs w:val="20"/>
          <w:color w:val="auto"/>
        </w:rPr>
      </w:pPr>
      <w:r>
        <w:rPr>
          <w:rFonts w:ascii="Arial" w:cs="Arial" w:eastAsia="Arial" w:hAnsi="Arial"/>
          <w:sz w:val="12"/>
          <w:szCs w:val="12"/>
          <w:color w:val="auto"/>
        </w:rPr>
        <w:t>As of December 31, 2020, the Company had $164.7 million of federal, $98.6 million of state and $2.2 million of foreign net operating losses available to offset future taxable income. The federal net operating loss carryforwards began to expire in 2019, the federal net operating loss carryforwards of $57.4 million may be carried forward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080"/>
          </w:cols>
          <w:pgMar w:left="300" w:top="302" w:right="519" w:bottom="1440" w:gutter="0" w:footer="0" w:header="0"/>
        </w:sectPr>
      </w:pPr>
    </w:p>
    <w:bookmarkStart w:id="86" w:name="page87"/>
    <w:bookmarkEnd w:id="86"/>
    <w:p>
      <w:pPr>
        <w:ind w:right="160"/>
        <w:spacing w:after="0" w:line="263" w:lineRule="auto"/>
        <w:rPr>
          <w:sz w:val="20"/>
          <w:szCs w:val="20"/>
          <w:color w:val="auto"/>
        </w:rPr>
      </w:pPr>
      <w:r>
        <w:rPr>
          <w:rFonts w:ascii="Arial" w:cs="Arial" w:eastAsia="Arial" w:hAnsi="Arial"/>
          <w:sz w:val="12"/>
          <w:szCs w:val="12"/>
          <w:color w:val="auto"/>
        </w:rPr>
        <w:t>indefinitely, the state net operating loss carryforwards will begin to expire in 2028 and the foreign net operating loss carryforward can be carried forward indefinitely, if not utilized. As of December 31, 2020, the Company also had $1.7 million of federal and $1.1 million of state research and development credit carryforwards. The federal research and development credit carryforward begin to expire in 2024 and the state research and development credit can be carried forward indefinitely.</w:t>
      </w:r>
    </w:p>
    <w:p>
      <w:pPr>
        <w:spacing w:after="0" w:line="122" w:lineRule="exact"/>
        <w:rPr>
          <w:sz w:val="20"/>
          <w:szCs w:val="20"/>
          <w:color w:val="auto"/>
        </w:rPr>
      </w:pPr>
    </w:p>
    <w:p>
      <w:pPr>
        <w:ind w:right="100" w:firstLine="592"/>
        <w:spacing w:after="0" w:line="283" w:lineRule="auto"/>
        <w:rPr>
          <w:sz w:val="20"/>
          <w:szCs w:val="20"/>
          <w:color w:val="auto"/>
        </w:rPr>
      </w:pPr>
      <w:r>
        <w:rPr>
          <w:rFonts w:ascii="Arial" w:cs="Arial" w:eastAsia="Arial" w:hAnsi="Arial"/>
          <w:sz w:val="11"/>
          <w:szCs w:val="11"/>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2020 and expects that analysis to completed during 2021. As such, as of the date of these consolidated financial statements the Company is not able to determine the impact on the net operating loss (NOL) carryforwards, if any.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U.S. taxes and foreign withholding taxes have not been provided on undistributed earnings for certain non-U.S. subsidiaries as of December 31, 2020, as the earnings, if any, are intended to be indefinitely reinvested.</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tables summarize the activities of gross unrecognized tax benefits (in thousands).</w:t>
      </w:r>
    </w:p>
    <w:p>
      <w:pPr>
        <w:spacing w:after="0" w:line="19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80" w:type="dxa"/>
            <w:vAlign w:val="bottom"/>
            <w:tcBorders>
              <w:bottom w:val="single" w:sz="8" w:color="CFF0FC"/>
            </w:tcBorders>
          </w:tcPr>
          <w:p>
            <w:pPr>
              <w:spacing w:after="0"/>
              <w:rPr>
                <w:sz w:val="8"/>
                <w:szCs w:val="8"/>
                <w:color w:val="auto"/>
              </w:rPr>
            </w:pPr>
          </w:p>
        </w:tc>
        <w:tc>
          <w:tcPr>
            <w:tcW w:w="1660" w:type="dxa"/>
            <w:vAlign w:val="bottom"/>
            <w:tcBorders>
              <w:bottom w:val="single" w:sz="8" w:color="CFF0FC"/>
            </w:tcBorders>
          </w:tcPr>
          <w:p>
            <w:pPr>
              <w:spacing w:after="0"/>
              <w:rPr>
                <w:sz w:val="8"/>
                <w:szCs w:val="8"/>
                <w:color w:val="auto"/>
              </w:rPr>
            </w:pPr>
          </w:p>
        </w:tc>
        <w:tc>
          <w:tcPr>
            <w:tcW w:w="72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Beginning balance</w:t>
            </w:r>
          </w:p>
        </w:tc>
        <w:tc>
          <w:tcPr>
            <w:tcW w:w="2380" w:type="dxa"/>
            <w:vAlign w:val="bottom"/>
            <w:gridSpan w:val="2"/>
            <w:shd w:val="clear" w:color="auto" w:fill="CFF0FC"/>
          </w:tcPr>
          <w:p>
            <w:pPr>
              <w:jc w:val="right"/>
              <w:ind w:right="61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2"/>
                <w:szCs w:val="12"/>
                <w:color w:val="auto"/>
              </w:rPr>
              <w:t>Increase related to prior year tax positions</w:t>
            </w:r>
          </w:p>
        </w:tc>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Decrease related to prior year tax positions</w:t>
            </w:r>
          </w:p>
        </w:tc>
        <w:tc>
          <w:tcPr>
            <w:tcW w:w="16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2"/>
                <w:szCs w:val="12"/>
                <w:color w:val="auto"/>
              </w:rPr>
              <w:t>Increase related to current year tax positions</w:t>
            </w:r>
          </w:p>
        </w:tc>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Ending balance</w:t>
            </w:r>
          </w:p>
        </w:tc>
        <w:tc>
          <w:tcPr>
            <w:tcW w:w="16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vMerge w:val="continue"/>
            <w:shd w:val="clear" w:color="auto" w:fill="CFF0FC"/>
          </w:tcPr>
          <w:p>
            <w:pPr>
              <w:spacing w:after="0"/>
              <w:rPr>
                <w:sz w:val="12"/>
                <w:szCs w:val="12"/>
                <w:color w:val="auto"/>
              </w:rPr>
            </w:pPr>
          </w:p>
        </w:tc>
        <w:tc>
          <w:tcPr>
            <w:tcW w:w="2380" w:type="dxa"/>
            <w:vAlign w:val="bottom"/>
            <w:gridSpan w:val="2"/>
            <w:shd w:val="clear" w:color="auto" w:fill="CFF0FC"/>
          </w:tcPr>
          <w:p>
            <w:pPr>
              <w:jc w:val="right"/>
              <w:ind w:right="612"/>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1,323</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320" w:firstLine="592"/>
        <w:spacing w:after="0" w:line="298" w:lineRule="auto"/>
        <w:rPr>
          <w:sz w:val="20"/>
          <w:szCs w:val="20"/>
          <w:color w:val="auto"/>
        </w:rPr>
      </w:pPr>
      <w:r>
        <w:rPr>
          <w:rFonts w:ascii="Arial" w:cs="Arial" w:eastAsia="Arial" w:hAnsi="Arial"/>
          <w:sz w:val="11"/>
          <w:szCs w:val="11"/>
          <w:color w:val="auto"/>
        </w:rPr>
        <w:t>The Company uses the “more likely than not” criterion for recognizing the tax benefit of uncertain tax positions and to establish measurement criteria for income tax benefits. The Company has determined it has $1.3 million of unrecognized assets and liabilities related to uncertain tax positions as of December 31, 2020.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33"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There were no unrecognized tax benefits that would impact the effective tax rate as of December 31, 2020 and December 31, 2019. As of December 31, 2020, unrecognized tax benefits of $1.3 million would be offset by a change in valuation allowance.</w:t>
      </w:r>
    </w:p>
    <w:p>
      <w:pPr>
        <w:spacing w:after="0" w:line="43" w:lineRule="exact"/>
        <w:rPr>
          <w:sz w:val="20"/>
          <w:szCs w:val="20"/>
          <w:color w:val="auto"/>
        </w:rPr>
      </w:pPr>
    </w:p>
    <w:p>
      <w:pPr>
        <w:jc w:val="both"/>
        <w:ind w:firstLine="592"/>
        <w:spacing w:after="0" w:line="263" w:lineRule="auto"/>
        <w:rPr>
          <w:sz w:val="20"/>
          <w:szCs w:val="20"/>
          <w:color w:val="auto"/>
        </w:rPr>
      </w:pPr>
      <w:r>
        <w:rPr>
          <w:rFonts w:ascii="Arial" w:cs="Arial" w:eastAsia="Arial" w:hAnsi="Arial"/>
          <w:sz w:val="12"/>
          <w:szCs w:val="12"/>
          <w:color w:val="auto"/>
        </w:rPr>
        <w:t>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1999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50" w:lineRule="exact"/>
        <w:rPr>
          <w:sz w:val="20"/>
          <w:szCs w:val="20"/>
          <w:color w:val="auto"/>
        </w:rPr>
      </w:pPr>
    </w:p>
    <w:p>
      <w:pPr>
        <w:ind w:right="140" w:firstLine="592"/>
        <w:spacing w:after="0" w:line="263" w:lineRule="auto"/>
        <w:rPr>
          <w:sz w:val="20"/>
          <w:szCs w:val="20"/>
          <w:color w:val="auto"/>
        </w:rPr>
      </w:pPr>
      <w:r>
        <w:rPr>
          <w:rFonts w:ascii="Arial" w:cs="Arial" w:eastAsia="Arial" w:hAnsi="Arial"/>
          <w:sz w:val="12"/>
          <w:szCs w:val="12"/>
          <w:color w:val="auto"/>
        </w:rPr>
        <w:t>The Jobs Act also establishes global intangible low-taxed income (GILTI), provisions that impose a tax on foreign income in excess of a deemed return on intangible assets of foreign corporations. The Company’s accounting policy for the income tax effects of GILTI will be to recognize those taxes as expenses in the period incurred. In 2020, the Company’s foreign subsidiary realized a tested loss for the period and therefore, the Company did not have a GILTI inclusion for the year.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87" w:name="page88"/>
    <w:bookmarkEnd w:id="87"/>
    <w:p>
      <w:pPr>
        <w:ind w:firstLine="592"/>
        <w:spacing w:after="0" w:line="298" w:lineRule="auto"/>
        <w:rPr>
          <w:sz w:val="20"/>
          <w:szCs w:val="20"/>
          <w:color w:val="auto"/>
        </w:rPr>
      </w:pPr>
      <w:r>
        <w:rPr>
          <w:rFonts w:ascii="Arial" w:cs="Arial" w:eastAsia="Arial" w:hAnsi="Arial"/>
          <w:sz w:val="11"/>
          <w:szCs w:val="11"/>
          <w:color w:val="auto"/>
        </w:rPr>
        <w:t>The Coronavirus Aid, Relief, and Economic Security (CARES) Act, was enacted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Net loss per share</w:t>
      </w:r>
    </w:p>
    <w:p>
      <w:pPr>
        <w:spacing w:after="0" w:line="82"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For the years ended December 31, 2020 and 2019, the effect of issuing the potential common stock is anti-dilutive due to the net losses in those periods and the number of shares used to compute basic and diluted earnings per share are the same in each of those periods.</w:t>
      </w:r>
    </w:p>
    <w:p>
      <w:pPr>
        <w:spacing w:after="0" w:line="124" w:lineRule="exact"/>
        <w:rPr>
          <w:sz w:val="20"/>
          <w:szCs w:val="20"/>
          <w:color w:val="auto"/>
        </w:rPr>
      </w:pPr>
    </w:p>
    <w:p>
      <w:pPr>
        <w:ind w:right="60" w:firstLine="592"/>
        <w:spacing w:after="0" w:line="276" w:lineRule="auto"/>
        <w:rPr>
          <w:sz w:val="20"/>
          <w:szCs w:val="20"/>
          <w:color w:val="auto"/>
        </w:rPr>
      </w:pPr>
      <w:r>
        <w:rPr>
          <w:rFonts w:ascii="Arial" w:cs="Arial" w:eastAsia="Arial" w:hAnsi="Arial"/>
          <w:sz w:val="12"/>
          <w:szCs w:val="12"/>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w w:val="90"/>
              </w:rPr>
              <w:t>As of December 31,</w:t>
            </w: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546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2019</w:t>
            </w:r>
          </w:p>
        </w:tc>
        <w:tc>
          <w:tcPr>
            <w:tcW w:w="60" w:type="dxa"/>
            <w:vAlign w:val="bottom"/>
            <w:tcBorders>
              <w:bottom w:val="single" w:sz="8" w:color="CFF0FC"/>
            </w:tcBorders>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5460" w:type="dxa"/>
            <w:vAlign w:val="bottom"/>
            <w:shd w:val="clear" w:color="auto" w:fill="CFF0FC"/>
          </w:tcPr>
          <w:p>
            <w:pPr>
              <w:spacing w:after="0" w:line="133" w:lineRule="exact"/>
              <w:rPr>
                <w:sz w:val="20"/>
                <w:szCs w:val="20"/>
                <w:color w:val="auto"/>
              </w:rPr>
            </w:pPr>
            <w:r>
              <w:rPr>
                <w:rFonts w:ascii="Arial" w:cs="Arial" w:eastAsia="Arial" w:hAnsi="Arial"/>
                <w:sz w:val="12"/>
                <w:szCs w:val="12"/>
                <w:color w:val="auto"/>
              </w:rPr>
              <w:t>Warrants issued to 2010/2012 convertible note</w:t>
            </w: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5460" w:type="dxa"/>
            <w:vAlign w:val="bottom"/>
            <w:shd w:val="clear" w:color="auto" w:fill="CFF0FC"/>
          </w:tcPr>
          <w:p>
            <w:pPr>
              <w:ind w:left="80"/>
              <w:spacing w:after="0"/>
              <w:rPr>
                <w:sz w:val="20"/>
                <w:szCs w:val="20"/>
                <w:color w:val="auto"/>
              </w:rPr>
            </w:pPr>
            <w:r>
              <w:rPr>
                <w:rFonts w:ascii="Arial" w:cs="Arial" w:eastAsia="Arial" w:hAnsi="Arial"/>
                <w:sz w:val="12"/>
                <w:szCs w:val="12"/>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102,070</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102,070</w:t>
            </w:r>
          </w:p>
        </w:tc>
        <w:tc>
          <w:tcPr>
            <w:tcW w:w="60" w:type="dxa"/>
            <w:vAlign w:val="bottom"/>
            <w:shd w:val="clear" w:color="auto" w:fill="CFF0FC"/>
          </w:tcPr>
          <w:p>
            <w:pPr>
              <w:spacing w:after="0"/>
              <w:rPr>
                <w:sz w:val="13"/>
                <w:szCs w:val="13"/>
                <w:color w:val="auto"/>
              </w:rPr>
            </w:pP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2"/>
                <w:szCs w:val="12"/>
                <w:color w:val="auto"/>
              </w:rPr>
              <w:t>2,837,739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2,123,117</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581,000</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4"/>
        </w:trPr>
        <w:tc>
          <w:tcPr>
            <w:tcW w:w="5480" w:type="dxa"/>
            <w:vAlign w:val="bottom"/>
            <w:gridSpan w:val="2"/>
          </w:tcPr>
          <w:p>
            <w:pPr>
              <w:spacing w:after="0"/>
              <w:rPr>
                <w:sz w:val="20"/>
                <w:szCs w:val="20"/>
                <w:color w:val="auto"/>
              </w:rPr>
            </w:pPr>
            <w:r>
              <w:rPr>
                <w:rFonts w:ascii="Arial" w:cs="Arial" w:eastAsia="Arial" w:hAnsi="Arial"/>
                <w:sz w:val="12"/>
                <w:szCs w:val="12"/>
                <w:color w:val="auto"/>
              </w:rPr>
              <w:t>Warrants issued to underwriter to purchase common</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460" w:type="dxa"/>
            <w:vAlign w:val="bottom"/>
          </w:tcPr>
          <w:p>
            <w:pPr>
              <w:ind w:left="80"/>
              <w:spacing w:after="0"/>
              <w:rPr>
                <w:sz w:val="20"/>
                <w:szCs w:val="20"/>
                <w:color w:val="auto"/>
              </w:rPr>
            </w:pPr>
            <w:r>
              <w:rPr>
                <w:rFonts w:ascii="Arial" w:cs="Arial" w:eastAsia="Arial" w:hAnsi="Arial"/>
                <w:sz w:val="12"/>
                <w:szCs w:val="12"/>
                <w:color w:val="auto"/>
              </w:rPr>
              <w:t>stock</w:t>
            </w:r>
          </w:p>
        </w:tc>
        <w:tc>
          <w:tcPr>
            <w:tcW w:w="1080" w:type="dxa"/>
            <w:vAlign w:val="bottom"/>
          </w:tcPr>
          <w:p>
            <w:pPr>
              <w:jc w:val="right"/>
              <w:spacing w:after="0"/>
              <w:rPr>
                <w:sz w:val="20"/>
                <w:szCs w:val="20"/>
                <w:color w:val="auto"/>
              </w:rPr>
            </w:pPr>
            <w:r>
              <w:rPr>
                <w:rFonts w:ascii="Arial" w:cs="Arial" w:eastAsia="Arial" w:hAnsi="Arial"/>
                <w:sz w:val="12"/>
                <w:szCs w:val="12"/>
                <w:color w:val="auto"/>
              </w:rPr>
              <w:t>16,500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16,500</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Series C warrants to purchase common stock</w:t>
            </w:r>
          </w:p>
        </w:tc>
        <w:tc>
          <w:tcPr>
            <w:tcW w:w="1640" w:type="dxa"/>
            <w:vAlign w:val="bottom"/>
            <w:gridSpan w:val="3"/>
            <w:shd w:val="clear" w:color="auto" w:fill="CFF0FC"/>
          </w:tcPr>
          <w:p>
            <w:pPr>
              <w:jc w:val="right"/>
              <w:ind w:right="5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118,083</w:t>
            </w:r>
          </w:p>
        </w:tc>
        <w:tc>
          <w:tcPr>
            <w:tcW w:w="60" w:type="dxa"/>
            <w:vAlign w:val="bottom"/>
            <w:shd w:val="clear" w:color="auto" w:fill="CFF0FC"/>
          </w:tcPr>
          <w:p>
            <w:pPr>
              <w:spacing w:after="0"/>
              <w:rPr>
                <w:sz w:val="13"/>
                <w:szCs w:val="13"/>
                <w:color w:val="auto"/>
              </w:rPr>
            </w:pP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Series D warrants to purchase common stock</w:t>
            </w:r>
          </w:p>
        </w:tc>
        <w:tc>
          <w:tcPr>
            <w:tcW w:w="164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540,540</w:t>
            </w:r>
          </w:p>
        </w:tc>
        <w:tc>
          <w:tcPr>
            <w:tcW w:w="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2017 PIPE warrants</w:t>
            </w:r>
          </w:p>
        </w:tc>
        <w:tc>
          <w:tcPr>
            <w:tcW w:w="1640" w:type="dxa"/>
            <w:vAlign w:val="bottom"/>
            <w:gridSpan w:val="3"/>
            <w:shd w:val="clear" w:color="auto" w:fill="CFF0FC"/>
          </w:tcPr>
          <w:p>
            <w:pPr>
              <w:jc w:val="right"/>
              <w:ind w:right="5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6,024,425</w:t>
            </w:r>
          </w:p>
        </w:tc>
        <w:tc>
          <w:tcPr>
            <w:tcW w:w="60" w:type="dxa"/>
            <w:vAlign w:val="bottom"/>
            <w:shd w:val="clear" w:color="auto" w:fill="CFF0FC"/>
          </w:tcPr>
          <w:p>
            <w:pPr>
              <w:spacing w:after="0"/>
              <w:rPr>
                <w:sz w:val="13"/>
                <w:szCs w:val="13"/>
                <w:color w:val="auto"/>
              </w:rPr>
            </w:pPr>
          </w:p>
        </w:tc>
      </w:t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2018 PIPE warrants</w:t>
            </w:r>
          </w:p>
        </w:tc>
        <w:tc>
          <w:tcPr>
            <w:tcW w:w="1080" w:type="dxa"/>
            <w:vAlign w:val="bottom"/>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513,617</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46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4,050,926</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9,438,352</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Defined Contribution Plan</w:t>
      </w:r>
    </w:p>
    <w:p>
      <w:pPr>
        <w:spacing w:after="0" w:line="82" w:lineRule="exact"/>
        <w:rPr>
          <w:sz w:val="20"/>
          <w:szCs w:val="20"/>
          <w:color w:val="auto"/>
        </w:rPr>
      </w:pPr>
    </w:p>
    <w:p>
      <w:pPr>
        <w:jc w:val="both"/>
        <w:ind w:right="440" w:firstLine="592"/>
        <w:spacing w:after="0" w:line="263" w:lineRule="auto"/>
        <w:rPr>
          <w:sz w:val="20"/>
          <w:szCs w:val="20"/>
          <w:color w:val="auto"/>
        </w:rPr>
      </w:pPr>
      <w:r>
        <w:rPr>
          <w:rFonts w:ascii="Arial" w:cs="Arial" w:eastAsia="Arial" w:hAnsi="Arial"/>
          <w:sz w:val="12"/>
          <w:szCs w:val="12"/>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During the year ended December 31, 2019 the Company made matching contributions of approximately $37,000 to the 401(k) Plan, and no matching contributions during the year ended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Subsequent Events</w:t>
      </w:r>
    </w:p>
    <w:p>
      <w:pPr>
        <w:spacing w:after="0" w:line="82" w:lineRule="exact"/>
        <w:rPr>
          <w:sz w:val="20"/>
          <w:szCs w:val="20"/>
          <w:color w:val="auto"/>
        </w:rPr>
      </w:pPr>
    </w:p>
    <w:p>
      <w:pPr>
        <w:ind w:right="100" w:firstLine="592"/>
        <w:spacing w:after="0" w:line="276" w:lineRule="auto"/>
        <w:rPr>
          <w:sz w:val="20"/>
          <w:szCs w:val="20"/>
          <w:color w:val="auto"/>
        </w:rPr>
      </w:pPr>
      <w:r>
        <w:rPr>
          <w:rFonts w:ascii="Arial" w:cs="Arial" w:eastAsia="Arial" w:hAnsi="Arial"/>
          <w:sz w:val="12"/>
          <w:szCs w:val="12"/>
          <w:color w:val="auto"/>
        </w:rPr>
        <w:t>The Company has evaluated its subsequent events from December 31, 2020 through the date these consolidated financial statements were issued and has determined that there are no subsequent events requiring disclosure in these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9A. 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82" w:lineRule="exact"/>
        <w:rPr>
          <w:sz w:val="20"/>
          <w:szCs w:val="20"/>
          <w:color w:val="auto"/>
        </w:rPr>
      </w:pPr>
    </w:p>
    <w:p>
      <w:pPr>
        <w:ind w:right="60" w:firstLine="592"/>
        <w:spacing w:after="0" w:line="259"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24" w:lineRule="exact"/>
        <w:rPr>
          <w:sz w:val="20"/>
          <w:szCs w:val="20"/>
          <w:color w:val="auto"/>
        </w:rPr>
      </w:pPr>
    </w:p>
    <w:p>
      <w:pPr>
        <w:jc w:val="both"/>
        <w:ind w:right="60" w:firstLine="592"/>
        <w:spacing w:after="0" w:line="259" w:lineRule="auto"/>
        <w:rPr>
          <w:sz w:val="20"/>
          <w:szCs w:val="20"/>
          <w:color w:val="auto"/>
        </w:rPr>
      </w:pPr>
      <w:r>
        <w:rPr>
          <w:rFonts w:ascii="Arial" w:cs="Arial" w:eastAsia="Arial" w:hAnsi="Arial"/>
          <w:sz w:val="12"/>
          <w:szCs w:val="12"/>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Management’s Annual Report on Internal Control over Financial Reporting</w:t>
      </w:r>
    </w:p>
    <w:p>
      <w:pPr>
        <w:spacing w:after="0" w:line="78" w:lineRule="exact"/>
        <w:rPr>
          <w:sz w:val="20"/>
          <w:szCs w:val="20"/>
          <w:color w:val="auto"/>
        </w:rPr>
      </w:pPr>
    </w:p>
    <w:p>
      <w:pPr>
        <w:ind w:firstLine="592"/>
        <w:spacing w:after="0" w:line="283"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13" w:lineRule="exact"/>
        <w:rPr>
          <w:sz w:val="20"/>
          <w:szCs w:val="20"/>
          <w:color w:val="auto"/>
        </w:rPr>
      </w:pPr>
    </w:p>
    <w:p>
      <w:pPr>
        <w:ind w:right="80" w:firstLine="592"/>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15" w:lineRule="exact"/>
        <w:rPr>
          <w:sz w:val="20"/>
          <w:szCs w:val="20"/>
          <w:color w:val="auto"/>
        </w:rPr>
      </w:pPr>
    </w:p>
    <w:p>
      <w:pPr>
        <w:ind w:right="520" w:firstLine="592"/>
        <w:spacing w:after="0" w:line="323" w:lineRule="auto"/>
        <w:rPr>
          <w:sz w:val="20"/>
          <w:szCs w:val="20"/>
          <w:color w:val="auto"/>
        </w:rPr>
      </w:pPr>
      <w:r>
        <w:rPr>
          <w:rFonts w:ascii="Arial" w:cs="Arial" w:eastAsia="Arial" w:hAnsi="Arial"/>
          <w:sz w:val="11"/>
          <w:szCs w:val="11"/>
          <w:color w:val="auto"/>
        </w:rPr>
        <w:t xml:space="preserve">Management conducted an evaluation of the effectiveness of our control over financial reporting based on the 2013 framework in </w:t>
      </w:r>
      <w:r>
        <w:rPr>
          <w:rFonts w:ascii="Arial" w:cs="Arial" w:eastAsia="Arial" w:hAnsi="Arial"/>
          <w:sz w:val="11"/>
          <w:szCs w:val="11"/>
          <w:i w:val="1"/>
          <w:iCs w:val="1"/>
          <w:color w:val="auto"/>
        </w:rPr>
        <w:t>Internal Control—Integrated Framework</w:t>
      </w:r>
      <w:r>
        <w:rPr>
          <w:rFonts w:ascii="Arial" w:cs="Arial" w:eastAsia="Arial" w:hAnsi="Arial"/>
          <w:sz w:val="11"/>
          <w:szCs w:val="11"/>
          <w:color w:val="auto"/>
        </w:rPr>
        <w:t xml:space="preserve"> issued by the Committee of Sponsoring Organizations of the Treadway Commission. Based on this evaluation, management concluded that our internal control over financial reporting was effective as of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Controls</w:t>
      </w:r>
    </w:p>
    <w:p>
      <w:pPr>
        <w:spacing w:after="0" w:line="78"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There have been no changes to our internal control over financial reporting that occurred during our last fiscal quarter ended December 31, 2020 that have materially affected, or are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89" w:name="page90"/>
    <w:bookmarkEnd w:id="89"/>
    <w:p>
      <w:pPr>
        <w:jc w:val="center"/>
        <w:ind w:right="-31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Definitive Proxy Statement for our 2021 Annual Meeting of Stockholders. The Definitive Proxy Statement will be filed with the Securities and Exchange Commission within 120 days after the end of the fiscal year covered by this Annual Report on Form 10-K.</w:t>
      </w:r>
    </w:p>
    <w:p>
      <w:pPr>
        <w:spacing w:after="0" w:line="183"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Definitive Proxy Statement for our 2021 Annual Meeting of Stockholders. The Definitive Proxy Statement will be filed with the Securities and Exchange Commission within 120 days after the end of the fiscal year covered by this Annual Report on Form 10-K.</w:t>
      </w:r>
    </w:p>
    <w:p>
      <w:pPr>
        <w:spacing w:after="0" w:line="183" w:lineRule="exact"/>
        <w:rPr>
          <w:sz w:val="20"/>
          <w:szCs w:val="20"/>
          <w:color w:val="auto"/>
        </w:rPr>
      </w:pPr>
    </w:p>
    <w:p>
      <w:pPr>
        <w:ind w:left="1780"/>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Definitive Proxy Statement for our 2021 Annual Meeting of Stockholders. The Definitive Proxy Statement will be filed with the Securities and Exchange Commission within 120 days after the end of the fiscal year covered by this Annual Report on Form 10-K.</w:t>
      </w:r>
    </w:p>
    <w:p>
      <w:pPr>
        <w:spacing w:after="0" w:line="183" w:lineRule="exact"/>
        <w:rPr>
          <w:sz w:val="20"/>
          <w:szCs w:val="20"/>
          <w:color w:val="auto"/>
        </w:rPr>
      </w:pPr>
    </w:p>
    <w:p>
      <w:pPr>
        <w:ind w:left="2700"/>
        <w:spacing w:after="0"/>
        <w:rPr>
          <w:sz w:val="20"/>
          <w:szCs w:val="20"/>
          <w:color w:val="auto"/>
        </w:rPr>
      </w:pPr>
      <w:r>
        <w:rPr>
          <w:rFonts w:ascii="Arial" w:cs="Arial" w:eastAsia="Arial" w:hAnsi="Arial"/>
          <w:sz w:val="12"/>
          <w:szCs w:val="12"/>
          <w:b w:val="1"/>
          <w:bCs w:val="1"/>
          <w:color w:val="auto"/>
        </w:rPr>
        <w:t>ITEM 13. CERTAIN RELATIONSHIPS AND RELATED TRANSACTIONS,AND DIRECTOR INDEPENDENCE</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Definitive Proxy Statement for our 2021 Annual Meeting of Stockholders. The Definitive Proxy Statement will be filed with the Securities and Exchange Commission within 120 days after the end of the fiscal year covered by this Annual Report on Form 10-K.</w:t>
      </w:r>
    </w:p>
    <w:p>
      <w:pPr>
        <w:spacing w:after="0" w:line="183"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ind w:firstLine="592"/>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Definitive Proxy Statement for our 2021 Annual Meeting of Stockholders. The Definitive Proxy Statement will be filed with the Securities and Exchange Commission within 120 days after the end of the fiscal year covered by this Annual Report on Form 10-K.</w:t>
      </w:r>
    </w:p>
    <w:p>
      <w:pPr>
        <w:spacing w:after="0" w:line="115"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980"/>
          </w:cols>
          <w:pgMar w:left="300" w:top="271" w:right="619" w:bottom="1440" w:gutter="0" w:footer="0" w:header="0"/>
        </w:sectPr>
      </w:pPr>
    </w:p>
    <w:bookmarkStart w:id="90" w:name="page91"/>
    <w:bookmarkEnd w:id="90"/>
    <w:p>
      <w:pPr>
        <w:ind w:left="5408"/>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82" w:lineRule="exact"/>
        <w:rPr>
          <w:sz w:val="20"/>
          <w:szCs w:val="20"/>
          <w:color w:val="auto"/>
        </w:rPr>
      </w:pPr>
    </w:p>
    <w:p>
      <w:pPr>
        <w:ind w:left="448" w:hanging="448"/>
        <w:spacing w:after="0"/>
        <w:tabs>
          <w:tab w:leader="none" w:pos="4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Financial Statements: See “Index to Financial Statements” in Part II, Item 8 of this Annual Report on Form 10-K</w:t>
      </w:r>
    </w:p>
    <w:p>
      <w:pPr>
        <w:spacing w:after="0" w:line="78" w:lineRule="exact"/>
        <w:rPr>
          <w:rFonts w:ascii="Arial" w:cs="Arial" w:eastAsia="Arial" w:hAnsi="Arial"/>
          <w:sz w:val="12"/>
          <w:szCs w:val="12"/>
          <w:color w:val="auto"/>
        </w:rPr>
      </w:pPr>
    </w:p>
    <w:p>
      <w:pPr>
        <w:ind w:left="448" w:hanging="448"/>
        <w:spacing w:after="0"/>
        <w:tabs>
          <w:tab w:leader="none" w:pos="448" w:val="left"/>
        </w:tabs>
        <w:numPr>
          <w:ilvl w:val="0"/>
          <w:numId w:val="58"/>
        </w:numPr>
        <w:rPr>
          <w:rFonts w:ascii="Arial" w:cs="Arial" w:eastAsia="Arial" w:hAnsi="Arial"/>
          <w:sz w:val="10"/>
          <w:szCs w:val="10"/>
          <w:color w:val="auto"/>
        </w:rPr>
      </w:pPr>
      <w:r>
        <w:rPr>
          <w:rFonts w:ascii="Arial" w:cs="Arial" w:eastAsia="Arial" w:hAnsi="Arial"/>
          <w:sz w:val="10"/>
          <w:szCs w:val="10"/>
          <w:color w:val="auto"/>
        </w:rPr>
        <w:t>Financial Schedules: All schedules have been omitted because the information called for is not required or is shown either in the financial statements or in the notes thereto.</w:t>
      </w:r>
    </w:p>
    <w:p>
      <w:pPr>
        <w:spacing w:after="0" w:line="101" w:lineRule="exact"/>
        <w:rPr>
          <w:rFonts w:ascii="Arial" w:cs="Arial" w:eastAsia="Arial" w:hAnsi="Arial"/>
          <w:sz w:val="10"/>
          <w:szCs w:val="10"/>
          <w:color w:val="auto"/>
        </w:rPr>
      </w:pPr>
    </w:p>
    <w:p>
      <w:pPr>
        <w:ind w:left="448" w:hanging="448"/>
        <w:spacing w:after="0"/>
        <w:tabs>
          <w:tab w:leader="none" w:pos="4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Exhibits: The exhibits listed in the accompanying index to exhibits are filed or incorporated by reference as part of this Annual Report on Form 10-K.</w:t>
      </w:r>
    </w:p>
    <w:p>
      <w:pPr>
        <w:spacing w:after="0" w:line="150"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67"/>
          </w:cols>
          <w:pgMar w:left="292" w:top="271" w:right="1440" w:bottom="1440" w:gutter="0" w:footer="0" w:header="0"/>
        </w:sectPr>
      </w:pPr>
    </w:p>
    <w:bookmarkStart w:id="91" w:name="page92"/>
    <w:bookmarkEnd w:id="91"/>
    <w:p>
      <w:pPr>
        <w:jc w:val="center"/>
        <w:ind w:right="40"/>
        <w:spacing w:after="0"/>
        <w:rPr>
          <w:sz w:val="20"/>
          <w:szCs w:val="20"/>
          <w:color w:val="auto"/>
        </w:rPr>
      </w:pPr>
      <w:r>
        <w:rPr>
          <w:rFonts w:ascii="Arial" w:cs="Arial" w:eastAsia="Arial" w:hAnsi="Arial"/>
          <w:sz w:val="12"/>
          <w:szCs w:val="12"/>
          <w:b w:val="1"/>
          <w:bCs w:val="1"/>
          <w:color w:val="auto"/>
        </w:rPr>
        <w:t>EXHIBIT 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 w:type="dxa"/>
            <w:vAlign w:val="bottom"/>
            <w:gridSpan w:val="2"/>
            <w:vMerge w:val="restart"/>
          </w:tcPr>
          <w:p>
            <w:pPr>
              <w:jc w:val="center"/>
              <w:ind w:right="40"/>
              <w:spacing w:after="0"/>
              <w:rPr>
                <w:sz w:val="20"/>
                <w:szCs w:val="20"/>
                <w:color w:val="auto"/>
              </w:rPr>
            </w:pPr>
            <w:r>
              <w:rPr>
                <w:rFonts w:ascii="Arial" w:cs="Arial" w:eastAsia="Arial" w:hAnsi="Arial"/>
                <w:sz w:val="10"/>
                <w:szCs w:val="10"/>
                <w:b w:val="1"/>
                <w:bCs w:val="1"/>
                <w:color w:val="auto"/>
                <w:w w:val="89"/>
              </w:rPr>
              <w:t>Exhibit</w:t>
            </w:r>
          </w:p>
        </w:tc>
        <w:tc>
          <w:tcPr>
            <w:tcW w:w="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w w:val="92"/>
              </w:rPr>
              <w:t>Incorporated by Reference from</w:t>
            </w: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2"/>
          </w:tcPr>
          <w:p>
            <w:pPr>
              <w:ind w:left="420"/>
              <w:spacing w:after="0" w:line="74" w:lineRule="exact"/>
              <w:rPr>
                <w:sz w:val="20"/>
                <w:szCs w:val="20"/>
                <w:color w:val="auto"/>
              </w:rPr>
            </w:pPr>
            <w:r>
              <w:rPr>
                <w:rFonts w:ascii="Arial" w:cs="Arial" w:eastAsia="Arial" w:hAnsi="Arial"/>
                <w:sz w:val="8"/>
                <w:szCs w:val="8"/>
                <w:b w:val="1"/>
                <w:bCs w:val="1"/>
                <w:color w:val="auto"/>
              </w:rPr>
              <w:t>Registrant’s</w:t>
            </w:r>
          </w:p>
        </w:tc>
        <w:tc>
          <w:tcPr>
            <w:tcW w:w="2160" w:type="dxa"/>
            <w:vAlign w:val="bottom"/>
            <w:gridSpan w:val="2"/>
          </w:tcPr>
          <w:p>
            <w:pPr>
              <w:ind w:left="860"/>
              <w:spacing w:after="0" w:line="74" w:lineRule="exact"/>
              <w:rPr>
                <w:sz w:val="20"/>
                <w:szCs w:val="20"/>
                <w:color w:val="auto"/>
              </w:rPr>
            </w:pPr>
            <w:r>
              <w:rPr>
                <w:rFonts w:ascii="Arial" w:cs="Arial" w:eastAsia="Arial" w:hAnsi="Arial"/>
                <w:sz w:val="8"/>
                <w:szCs w:val="8"/>
                <w:b w:val="1"/>
                <w:bCs w:val="1"/>
                <w:color w:val="auto"/>
              </w:rPr>
              <w:t>Date Filed</w:t>
            </w:r>
          </w:p>
        </w:tc>
        <w:tc>
          <w:tcPr>
            <w:tcW w:w="740" w:type="dxa"/>
            <w:vAlign w:val="bottom"/>
            <w:gridSpan w:val="2"/>
          </w:tcPr>
          <w:p>
            <w:pPr>
              <w:jc w:val="center"/>
              <w:ind w:right="4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Filed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8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gridSpan w:val="6"/>
          </w:tcPr>
          <w:p>
            <w:pPr>
              <w:ind w:left="380"/>
              <w:spacing w:after="0" w:line="114" w:lineRule="exact"/>
              <w:rPr>
                <w:sz w:val="20"/>
                <w:szCs w:val="20"/>
                <w:color w:val="auto"/>
              </w:rPr>
            </w:pPr>
            <w:r>
              <w:rPr>
                <w:rFonts w:ascii="Arial" w:cs="Arial" w:eastAsia="Arial" w:hAnsi="Arial"/>
                <w:sz w:val="10"/>
                <w:szCs w:val="10"/>
                <w:b w:val="1"/>
                <w:bCs w:val="1"/>
                <w:color w:val="auto"/>
              </w:rPr>
              <w:t>Description of Document</w:t>
            </w:r>
          </w:p>
        </w:tc>
        <w:tc>
          <w:tcPr>
            <w:tcW w:w="20" w:type="dxa"/>
            <w:vAlign w:val="bottom"/>
          </w:tcPr>
          <w:p>
            <w:pPr>
              <w:spacing w:after="0"/>
              <w:rPr>
                <w:sz w:val="9"/>
                <w:szCs w:val="9"/>
                <w:color w:val="auto"/>
              </w:rPr>
            </w:pPr>
          </w:p>
        </w:tc>
        <w:tc>
          <w:tcPr>
            <w:tcW w:w="1300" w:type="dxa"/>
            <w:vAlign w:val="bottom"/>
            <w:tcBorders>
              <w:bottom w:val="single" w:sz="8" w:color="auto"/>
            </w:tcBorders>
          </w:tcPr>
          <w:p>
            <w:pPr>
              <w:ind w:left="560"/>
              <w:spacing w:after="0" w:line="114" w:lineRule="exact"/>
              <w:rPr>
                <w:sz w:val="20"/>
                <w:szCs w:val="20"/>
                <w:color w:val="auto"/>
              </w:rPr>
            </w:pPr>
            <w:r>
              <w:rPr>
                <w:rFonts w:ascii="Arial" w:cs="Arial" w:eastAsia="Arial" w:hAnsi="Arial"/>
                <w:sz w:val="10"/>
                <w:szCs w:val="10"/>
                <w:b w:val="1"/>
                <w:bCs w:val="1"/>
                <w:color w:val="auto"/>
              </w:rPr>
              <w:t>Form</w:t>
            </w:r>
          </w:p>
        </w:tc>
        <w:tc>
          <w:tcPr>
            <w:tcW w:w="20" w:type="dxa"/>
            <w:vAlign w:val="bottom"/>
          </w:tcPr>
          <w:p>
            <w:pPr>
              <w:spacing w:after="0"/>
              <w:rPr>
                <w:sz w:val="9"/>
                <w:szCs w:val="9"/>
                <w:color w:val="auto"/>
              </w:rPr>
            </w:pPr>
          </w:p>
        </w:tc>
        <w:tc>
          <w:tcPr>
            <w:tcW w:w="2120" w:type="dxa"/>
            <w:vAlign w:val="bottom"/>
            <w:tcBorders>
              <w:bottom w:val="single" w:sz="8" w:color="auto"/>
            </w:tcBorders>
          </w:tcPr>
          <w:p>
            <w:pPr>
              <w:ind w:left="800"/>
              <w:spacing w:after="0" w:line="114" w:lineRule="exact"/>
              <w:rPr>
                <w:sz w:val="20"/>
                <w:szCs w:val="20"/>
                <w:color w:val="auto"/>
              </w:rPr>
            </w:pPr>
            <w:r>
              <w:rPr>
                <w:rFonts w:ascii="Arial" w:cs="Arial" w:eastAsia="Arial" w:hAnsi="Arial"/>
                <w:sz w:val="10"/>
                <w:szCs w:val="10"/>
                <w:b w:val="1"/>
                <w:bCs w:val="1"/>
                <w:color w:val="auto"/>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2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20" w:type="dxa"/>
            <w:vAlign w:val="bottom"/>
          </w:tcPr>
          <w:p>
            <w:pPr>
              <w:jc w:val="center"/>
              <w:spacing w:after="0"/>
              <w:rPr>
                <w:sz w:val="20"/>
                <w:szCs w:val="20"/>
                <w:color w:val="auto"/>
              </w:rPr>
            </w:pPr>
            <w:r>
              <w:rPr>
                <w:rFonts w:ascii="Arial" w:cs="Arial" w:eastAsia="Arial" w:hAnsi="Arial"/>
                <w:sz w:val="12"/>
                <w:szCs w:val="12"/>
                <w:color w:val="auto"/>
                <w:w w:val="83"/>
              </w:rPr>
              <w:t>2.1</w:t>
            </w:r>
          </w:p>
        </w:tc>
        <w:tc>
          <w:tcPr>
            <w:tcW w:w="40" w:type="dxa"/>
            <w:vAlign w:val="bottom"/>
          </w:tcPr>
          <w:p>
            <w:pPr>
              <w:spacing w:after="0"/>
              <w:rPr>
                <w:sz w:val="16"/>
                <w:szCs w:val="16"/>
                <w:color w:val="auto"/>
              </w:rPr>
            </w:pPr>
          </w:p>
        </w:tc>
        <w:tc>
          <w:tcPr>
            <w:tcW w:w="5120" w:type="dxa"/>
            <w:vAlign w:val="bottom"/>
            <w:tcBorders>
              <w:bottom w:val="single" w:sz="8" w:color="0000EE"/>
            </w:tcBorders>
            <w:gridSpan w:val="5"/>
          </w:tcPr>
          <w:p>
            <w:pPr>
              <w:spacing w:after="0"/>
              <w:rPr>
                <w:rFonts w:ascii="Arial" w:cs="Arial" w:eastAsia="Arial" w:hAnsi="Arial"/>
                <w:sz w:val="12"/>
                <w:szCs w:val="12"/>
                <w:color w:val="0000EE"/>
                <w:w w:val="89"/>
              </w:rPr>
            </w:pPr>
            <w:hyperlink r:id="rId112">
              <w:r>
                <w:rPr>
                  <w:rFonts w:ascii="Arial" w:cs="Arial" w:eastAsia="Arial" w:hAnsi="Arial"/>
                  <w:sz w:val="12"/>
                  <w:szCs w:val="12"/>
                  <w:color w:val="0000EE"/>
                  <w:w w:val="89"/>
                </w:rPr>
                <w:t>Stock Purchase Agreement, dated as of July 18, 2017, and between Soleno Therapeutics, Inc., a Delaware</w:t>
              </w:r>
            </w:hyperlink>
          </w:p>
        </w:tc>
        <w:tc>
          <w:tcPr>
            <w:tcW w:w="260" w:type="dxa"/>
            <w:vAlign w:val="bottom"/>
            <w:gridSpan w:val="4"/>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80" w:type="dxa"/>
            <w:vAlign w:val="bottom"/>
            <w:gridSpan w:val="9"/>
          </w:tcPr>
          <w:p>
            <w:pPr>
              <w:spacing w:after="0" w:line="124" w:lineRule="exact"/>
              <w:rPr>
                <w:rFonts w:ascii="Arial" w:cs="Arial" w:eastAsia="Arial" w:hAnsi="Arial"/>
                <w:sz w:val="12"/>
                <w:szCs w:val="12"/>
                <w:color w:val="0000EE"/>
              </w:rPr>
            </w:pPr>
            <w:hyperlink r:id="rId112">
              <w:r>
                <w:rPr>
                  <w:rFonts w:ascii="Arial" w:cs="Arial" w:eastAsia="Arial" w:hAnsi="Arial"/>
                  <w:sz w:val="12"/>
                  <w:szCs w:val="12"/>
                  <w:color w:val="0000EE"/>
                </w:rPr>
                <w:t>corporation, and NeoForce Holdings, Inc. a Delaware corporation</w:t>
              </w:r>
            </w:hyperlink>
          </w:p>
        </w:tc>
        <w:tc>
          <w:tcPr>
            <w:tcW w:w="132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July 24, 2017</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3"/>
              </w:rPr>
              <w:t>2.1</w:t>
            </w: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3"/>
              </w:rPr>
              <w:t>2.2</w:t>
            </w:r>
          </w:p>
        </w:tc>
        <w:tc>
          <w:tcPr>
            <w:tcW w:w="40" w:type="dxa"/>
            <w:vAlign w:val="bottom"/>
          </w:tcPr>
          <w:p>
            <w:pPr>
              <w:spacing w:after="0"/>
              <w:rPr>
                <w:sz w:val="23"/>
                <w:szCs w:val="23"/>
                <w:color w:val="auto"/>
              </w:rPr>
            </w:pPr>
          </w:p>
        </w:tc>
        <w:tc>
          <w:tcPr>
            <w:tcW w:w="5160" w:type="dxa"/>
            <w:vAlign w:val="bottom"/>
            <w:tcBorders>
              <w:bottom w:val="single" w:sz="8" w:color="0000EE"/>
            </w:tcBorders>
            <w:gridSpan w:val="6"/>
          </w:tcPr>
          <w:p>
            <w:pPr>
              <w:spacing w:after="0"/>
              <w:rPr>
                <w:rFonts w:ascii="Arial" w:cs="Arial" w:eastAsia="Arial" w:hAnsi="Arial"/>
                <w:sz w:val="12"/>
                <w:szCs w:val="12"/>
                <w:color w:val="0000EE"/>
                <w:w w:val="90"/>
              </w:rPr>
            </w:pPr>
            <w:hyperlink r:id="rId113">
              <w:r>
                <w:rPr>
                  <w:rFonts w:ascii="Arial" w:cs="Arial" w:eastAsia="Arial" w:hAnsi="Arial"/>
                  <w:sz w:val="12"/>
                  <w:szCs w:val="12"/>
                  <w:color w:val="0000EE"/>
                  <w:w w:val="90"/>
                </w:rPr>
                <w:t>Joint Venture Agreement, dated as of December 4, 2017, by and among Soleno Therapeutics, Inc., Capnia,</w:t>
              </w:r>
            </w:hyperlink>
          </w:p>
        </w:tc>
        <w:tc>
          <w:tcPr>
            <w:tcW w:w="220" w:type="dxa"/>
            <w:vAlign w:val="bottom"/>
            <w:gridSpan w:val="3"/>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0000EE"/>
            </w:tcBorders>
            <w:gridSpan w:val="2"/>
          </w:tcPr>
          <w:p>
            <w:pPr>
              <w:spacing w:after="0" w:line="124" w:lineRule="exact"/>
              <w:rPr>
                <w:rFonts w:ascii="Arial" w:cs="Arial" w:eastAsia="Arial" w:hAnsi="Arial"/>
                <w:sz w:val="12"/>
                <w:szCs w:val="12"/>
                <w:color w:val="0000EE"/>
                <w:w w:val="92"/>
              </w:rPr>
            </w:pPr>
            <w:hyperlink r:id="rId113">
              <w:r>
                <w:rPr>
                  <w:rFonts w:ascii="Arial" w:cs="Arial" w:eastAsia="Arial" w:hAnsi="Arial"/>
                  <w:sz w:val="12"/>
                  <w:szCs w:val="12"/>
                  <w:color w:val="0000EE"/>
                  <w:w w:val="92"/>
                </w:rPr>
                <w:t>Inc., and OptAsia Healthcare Limited</w:t>
              </w:r>
            </w:hyperlink>
          </w:p>
        </w:tc>
        <w:tc>
          <w:tcPr>
            <w:tcW w:w="3560" w:type="dxa"/>
            <w:vAlign w:val="bottom"/>
            <w:gridSpan w:val="7"/>
          </w:tcPr>
          <w:p>
            <w:pPr>
              <w:spacing w:after="0"/>
              <w:rPr>
                <w:sz w:val="10"/>
                <w:szCs w:val="10"/>
                <w:color w:val="auto"/>
              </w:rPr>
            </w:pPr>
          </w:p>
        </w:tc>
        <w:tc>
          <w:tcPr>
            <w:tcW w:w="132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December 8, 2017</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3"/>
              </w:rPr>
              <w:t>2.1</w:t>
            </w: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3"/>
              </w:rPr>
              <w:t>2.3</w:t>
            </w:r>
          </w:p>
        </w:tc>
        <w:tc>
          <w:tcPr>
            <w:tcW w:w="40" w:type="dxa"/>
            <w:vAlign w:val="bottom"/>
          </w:tcPr>
          <w:p>
            <w:pPr>
              <w:spacing w:after="0"/>
              <w:rPr>
                <w:sz w:val="23"/>
                <w:szCs w:val="23"/>
                <w:color w:val="auto"/>
              </w:rPr>
            </w:pPr>
          </w:p>
        </w:tc>
        <w:tc>
          <w:tcPr>
            <w:tcW w:w="5300" w:type="dxa"/>
            <w:vAlign w:val="bottom"/>
            <w:tcBorders>
              <w:bottom w:val="single" w:sz="8" w:color="0000EE"/>
            </w:tcBorders>
            <w:gridSpan w:val="7"/>
          </w:tcPr>
          <w:p>
            <w:pPr>
              <w:spacing w:after="0"/>
              <w:rPr>
                <w:rFonts w:ascii="Arial" w:cs="Arial" w:eastAsia="Arial" w:hAnsi="Arial"/>
                <w:sz w:val="12"/>
                <w:szCs w:val="12"/>
                <w:color w:val="0000EE"/>
                <w:w w:val="89"/>
              </w:rPr>
            </w:pPr>
            <w:hyperlink r:id="rId114">
              <w:r>
                <w:rPr>
                  <w:rFonts w:ascii="Arial" w:cs="Arial" w:eastAsia="Arial" w:hAnsi="Arial"/>
                  <w:sz w:val="12"/>
                  <w:szCs w:val="12"/>
                  <w:color w:val="0000EE"/>
                  <w:w w:val="89"/>
                </w:rPr>
                <w:t>PRC IP Purchase Agreement, dated as of December 4, 2017, by and between OptAsia Healthcare Limited and</w:t>
              </w:r>
            </w:hyperlink>
          </w:p>
        </w:tc>
        <w:tc>
          <w:tcPr>
            <w:tcW w:w="8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80" w:type="dxa"/>
            <w:vAlign w:val="bottom"/>
            <w:gridSpan w:val="9"/>
          </w:tcPr>
          <w:p>
            <w:pPr>
              <w:spacing w:after="0" w:line="124" w:lineRule="exact"/>
              <w:rPr>
                <w:rFonts w:ascii="Arial" w:cs="Arial" w:eastAsia="Arial" w:hAnsi="Arial"/>
                <w:sz w:val="12"/>
                <w:szCs w:val="12"/>
                <w:color w:val="0000EE"/>
              </w:rPr>
            </w:pPr>
            <w:hyperlink r:id="rId114">
              <w:r>
                <w:rPr>
                  <w:rFonts w:ascii="Arial" w:cs="Arial" w:eastAsia="Arial" w:hAnsi="Arial"/>
                  <w:sz w:val="12"/>
                  <w:szCs w:val="12"/>
                  <w:color w:val="0000EE"/>
                </w:rPr>
                <w:t>Capnia, Inc.</w:t>
              </w:r>
            </w:hyperlink>
          </w:p>
        </w:tc>
        <w:tc>
          <w:tcPr>
            <w:tcW w:w="132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line="124" w:lineRule="exact"/>
              <w:rPr>
                <w:sz w:val="20"/>
                <w:szCs w:val="20"/>
                <w:color w:val="auto"/>
              </w:rPr>
            </w:pPr>
            <w:r>
              <w:rPr>
                <w:rFonts w:ascii="Arial" w:cs="Arial" w:eastAsia="Arial" w:hAnsi="Arial"/>
                <w:sz w:val="12"/>
                <w:szCs w:val="12"/>
                <w:color w:val="auto"/>
              </w:rPr>
              <w:t>December 8, 2017</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3"/>
              </w:rPr>
              <w:t>2.2</w:t>
            </w: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3"/>
              </w:rPr>
              <w:t>2.4</w:t>
            </w:r>
          </w:p>
        </w:tc>
        <w:tc>
          <w:tcPr>
            <w:tcW w:w="40" w:type="dxa"/>
            <w:vAlign w:val="bottom"/>
          </w:tcPr>
          <w:p>
            <w:pPr>
              <w:spacing w:after="0"/>
              <w:rPr>
                <w:sz w:val="23"/>
                <w:szCs w:val="23"/>
                <w:color w:val="auto"/>
              </w:rPr>
            </w:pPr>
          </w:p>
        </w:tc>
        <w:tc>
          <w:tcPr>
            <w:tcW w:w="5380" w:type="dxa"/>
            <w:vAlign w:val="bottom"/>
            <w:gridSpan w:val="9"/>
          </w:tcPr>
          <w:p>
            <w:pPr>
              <w:spacing w:after="0"/>
              <w:rPr>
                <w:rFonts w:ascii="Arial" w:cs="Arial" w:eastAsia="Arial" w:hAnsi="Arial"/>
                <w:sz w:val="12"/>
                <w:szCs w:val="12"/>
                <w:color w:val="0000EE"/>
                <w:w w:val="94"/>
              </w:rPr>
            </w:pPr>
            <w:hyperlink r:id="rId115">
              <w:r>
                <w:rPr>
                  <w:rFonts w:ascii="Arial" w:cs="Arial" w:eastAsia="Arial" w:hAnsi="Arial"/>
                  <w:sz w:val="12"/>
                  <w:szCs w:val="12"/>
                  <w:color w:val="0000EE"/>
                  <w:w w:val="94"/>
                </w:rPr>
                <w:t>Transition Services Agreement, dated as of December 4, 2017, by and among Soleno Therapeutics, Inc., a</w:t>
              </w:r>
            </w:hyperlink>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tcBorders>
              <w:top w:val="single" w:sz="8" w:color="0000EE"/>
            </w:tcBorders>
            <w:gridSpan w:val="5"/>
          </w:tcPr>
          <w:p>
            <w:pPr>
              <w:spacing w:after="0"/>
              <w:rPr>
                <w:rFonts w:ascii="Arial" w:cs="Arial" w:eastAsia="Arial" w:hAnsi="Arial"/>
                <w:sz w:val="12"/>
                <w:szCs w:val="12"/>
                <w:u w:val="single" w:color="auto"/>
                <w:color w:val="0000EE"/>
              </w:rPr>
            </w:pPr>
            <w:hyperlink r:id="rId115">
              <w:r>
                <w:rPr>
                  <w:rFonts w:ascii="Arial" w:cs="Arial" w:eastAsia="Arial" w:hAnsi="Arial"/>
                  <w:sz w:val="12"/>
                  <w:szCs w:val="12"/>
                  <w:u w:val="single" w:color="auto"/>
                  <w:color w:val="0000EE"/>
                </w:rPr>
                <w:t>Delaware corporation, Capnia, Inc. and OptAsia Healthcare, Ltd., a Hong Kong company</w:t>
              </w:r>
            </w:hyperlink>
          </w:p>
        </w:tc>
        <w:tc>
          <w:tcPr>
            <w:tcW w:w="260" w:type="dxa"/>
            <w:vAlign w:val="bottom"/>
            <w:gridSpan w:val="4"/>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December 8, 2017</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2.3</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color w:val="0000EE"/>
              </w:rPr>
            </w:pPr>
            <w:hyperlink r:id="rId116">
              <w:r>
                <w:rPr>
                  <w:rFonts w:ascii="Arial" w:cs="Arial" w:eastAsia="Arial" w:hAnsi="Arial"/>
                  <w:sz w:val="12"/>
                  <w:szCs w:val="12"/>
                  <w:u w:val="single" w:color="auto"/>
                  <w:color w:val="0000EE"/>
                </w:rPr>
                <w:t>Amended and Restated Certificate of Incorporation of Soleno Therapeutics, Inc</w:t>
              </w:r>
              <w:r>
                <w:rPr>
                  <w:rFonts w:ascii="Arial" w:cs="Arial" w:eastAsia="Arial" w:hAnsi="Arial"/>
                  <w:sz w:val="12"/>
                  <w:szCs w:val="12"/>
                  <w:color w:val="0000EE"/>
                </w:rPr>
                <w:t>.</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August 7,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3.2</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3.2</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17">
              <w:r>
                <w:rPr>
                  <w:rFonts w:ascii="Arial" w:cs="Arial" w:eastAsia="Arial" w:hAnsi="Arial"/>
                  <w:sz w:val="12"/>
                  <w:szCs w:val="12"/>
                  <w:u w:val="single" w:color="auto"/>
                  <w:color w:val="0000EE"/>
                </w:rPr>
                <w:t>Amended and Restated Bylaws of Soleno Therapeutics, Inc.</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July 1,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3.4</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3.3</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w w:val="96"/>
              </w:rPr>
            </w:pPr>
            <w:hyperlink r:id="rId118">
              <w:r>
                <w:rPr>
                  <w:rFonts w:ascii="Arial" w:cs="Arial" w:eastAsia="Arial" w:hAnsi="Arial"/>
                  <w:sz w:val="12"/>
                  <w:szCs w:val="12"/>
                  <w:u w:val="single" w:color="auto"/>
                  <w:color w:val="0000EE"/>
                  <w:w w:val="96"/>
                </w:rPr>
                <w:t>Certificate of Designation of Preferences, Rights and Limitations of Series A Convertible Preferred Stock.</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3.4</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w w:val="96"/>
              </w:rPr>
            </w:pPr>
            <w:hyperlink r:id="rId119">
              <w:r>
                <w:rPr>
                  <w:rFonts w:ascii="Arial" w:cs="Arial" w:eastAsia="Arial" w:hAnsi="Arial"/>
                  <w:sz w:val="12"/>
                  <w:szCs w:val="12"/>
                  <w:u w:val="single" w:color="auto"/>
                  <w:color w:val="0000EE"/>
                  <w:w w:val="96"/>
                </w:rPr>
                <w:t>Certificate of Designation of Preferences, Rights and Limitations of Series B Convertible Preferred Stock</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July 6, 2016</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3.5</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0">
              <w:r>
                <w:rPr>
                  <w:rFonts w:ascii="Arial" w:cs="Arial" w:eastAsia="Arial" w:hAnsi="Arial"/>
                  <w:sz w:val="12"/>
                  <w:szCs w:val="12"/>
                  <w:u w:val="single" w:color="auto"/>
                  <w:color w:val="0000EE"/>
                </w:rPr>
                <w:t>Certificate of Amendment</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May 11, 2017</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3.6</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1">
              <w:r>
                <w:rPr>
                  <w:rFonts w:ascii="Arial" w:cs="Arial" w:eastAsia="Arial" w:hAnsi="Arial"/>
                  <w:sz w:val="12"/>
                  <w:szCs w:val="12"/>
                  <w:u w:val="single" w:color="auto"/>
                  <w:color w:val="0000EE"/>
                </w:rPr>
                <w:t>Certificate of Amendment to the Certificate of Incorporation</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October 6, 2017</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2">
              <w:r>
                <w:rPr>
                  <w:rFonts w:ascii="Arial" w:cs="Arial" w:eastAsia="Arial" w:hAnsi="Arial"/>
                  <w:sz w:val="12"/>
                  <w:szCs w:val="12"/>
                  <w:u w:val="single" w:color="auto"/>
                  <w:color w:val="0000EE"/>
                </w:rPr>
                <w:t>Form of the common stock certificate.</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August 5,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jc w:val="center"/>
              <w:spacing w:after="0"/>
              <w:rPr>
                <w:sz w:val="20"/>
                <w:szCs w:val="20"/>
                <w:color w:val="auto"/>
              </w:rPr>
            </w:pPr>
            <w:r>
              <w:rPr>
                <w:rFonts w:ascii="Arial" w:cs="Arial" w:eastAsia="Arial" w:hAnsi="Arial"/>
                <w:sz w:val="12"/>
                <w:szCs w:val="12"/>
                <w:color w:val="auto"/>
                <w:w w:val="83"/>
              </w:rPr>
              <w:t>4.2</w:t>
            </w:r>
          </w:p>
        </w:tc>
        <w:tc>
          <w:tcPr>
            <w:tcW w:w="40" w:type="dxa"/>
            <w:vAlign w:val="bottom"/>
          </w:tcPr>
          <w:p>
            <w:pPr>
              <w:spacing w:after="0"/>
              <w:rPr>
                <w:sz w:val="22"/>
                <w:szCs w:val="22"/>
                <w:color w:val="auto"/>
              </w:rPr>
            </w:pPr>
          </w:p>
        </w:tc>
        <w:tc>
          <w:tcPr>
            <w:tcW w:w="4820" w:type="dxa"/>
            <w:vAlign w:val="bottom"/>
            <w:tcBorders>
              <w:bottom w:val="single" w:sz="8" w:color="0000EE"/>
            </w:tcBorders>
            <w:gridSpan w:val="4"/>
          </w:tcPr>
          <w:p>
            <w:pPr>
              <w:spacing w:after="0"/>
              <w:rPr>
                <w:rFonts w:ascii="Arial" w:cs="Arial" w:eastAsia="Arial" w:hAnsi="Arial"/>
                <w:sz w:val="12"/>
                <w:szCs w:val="12"/>
                <w:color w:val="0000EE"/>
                <w:w w:val="90"/>
              </w:rPr>
            </w:pPr>
            <w:hyperlink r:id="rId123">
              <w:r>
                <w:rPr>
                  <w:rFonts w:ascii="Arial" w:cs="Arial" w:eastAsia="Arial" w:hAnsi="Arial"/>
                  <w:sz w:val="12"/>
                  <w:szCs w:val="12"/>
                  <w:color w:val="0000EE"/>
                  <w:w w:val="90"/>
                </w:rPr>
                <w:t>Amended And Restated Investors’ Rights Agreement, dated March 20, 2008, by and among Soleno</w:t>
              </w:r>
            </w:hyperlink>
          </w:p>
        </w:tc>
        <w:tc>
          <w:tcPr>
            <w:tcW w:w="560" w:type="dxa"/>
            <w:vAlign w:val="bottom"/>
            <w:gridSpan w:val="5"/>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3">
              <w:r>
                <w:rPr>
                  <w:rFonts w:ascii="Arial" w:cs="Arial" w:eastAsia="Arial" w:hAnsi="Arial"/>
                  <w:sz w:val="12"/>
                  <w:szCs w:val="12"/>
                  <w:u w:val="single" w:color="auto"/>
                  <w:color w:val="0000EE"/>
                </w:rPr>
                <w:t>Therapeutics, Inc. and certain holders of the Soleno Therapeutics, Inc.’s capital stock named therein.</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July 1,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4.2</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4.3</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4">
              <w:r>
                <w:rPr>
                  <w:rFonts w:ascii="Arial" w:cs="Arial" w:eastAsia="Arial" w:hAnsi="Arial"/>
                  <w:sz w:val="12"/>
                  <w:szCs w:val="12"/>
                  <w:u w:val="single" w:color="auto"/>
                  <w:color w:val="0000EE"/>
                </w:rPr>
                <w:t>Form of Series A Warrant Agreement.</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August 5,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4.3</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4.4</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5">
              <w:r>
                <w:rPr>
                  <w:rFonts w:ascii="Arial" w:cs="Arial" w:eastAsia="Arial" w:hAnsi="Arial"/>
                  <w:sz w:val="12"/>
                  <w:szCs w:val="12"/>
                  <w:u w:val="single" w:color="auto"/>
                  <w:color w:val="0000EE"/>
                </w:rPr>
                <w:t>Form of the Series A Warrant certificate.</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August 5,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4.4</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3"/>
              </w:rPr>
              <w:t>4.5</w:t>
            </w:r>
          </w:p>
        </w:tc>
        <w:tc>
          <w:tcPr>
            <w:tcW w:w="40" w:type="dxa"/>
            <w:vAlign w:val="bottom"/>
          </w:tcPr>
          <w:p>
            <w:pPr>
              <w:spacing w:after="0"/>
              <w:rPr>
                <w:sz w:val="24"/>
                <w:szCs w:val="24"/>
                <w:color w:val="auto"/>
              </w:rPr>
            </w:pPr>
          </w:p>
        </w:tc>
        <w:tc>
          <w:tcPr>
            <w:tcW w:w="5380" w:type="dxa"/>
            <w:vAlign w:val="bottom"/>
            <w:gridSpan w:val="9"/>
          </w:tcPr>
          <w:p>
            <w:pPr>
              <w:spacing w:after="0"/>
              <w:rPr>
                <w:rFonts w:ascii="Arial" w:cs="Arial" w:eastAsia="Arial" w:hAnsi="Arial"/>
                <w:sz w:val="12"/>
                <w:szCs w:val="12"/>
                <w:u w:val="single" w:color="auto"/>
                <w:color w:val="0000EE"/>
              </w:rPr>
            </w:pPr>
            <w:hyperlink r:id="rId126">
              <w:r>
                <w:rPr>
                  <w:rFonts w:ascii="Arial" w:cs="Arial" w:eastAsia="Arial" w:hAnsi="Arial"/>
                  <w:sz w:val="12"/>
                  <w:szCs w:val="12"/>
                  <w:u w:val="single" w:color="auto"/>
                  <w:color w:val="0000EE"/>
                </w:rPr>
                <w:t>Form of Underwriters’ Compensation Warrant.</w:t>
              </w:r>
            </w:hyperlink>
          </w:p>
        </w:tc>
        <w:tc>
          <w:tcPr>
            <w:tcW w:w="132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ind w:left="20"/>
              <w:spacing w:after="0"/>
              <w:rPr>
                <w:sz w:val="20"/>
                <w:szCs w:val="20"/>
                <w:color w:val="auto"/>
              </w:rPr>
            </w:pPr>
            <w:r>
              <w:rPr>
                <w:rFonts w:ascii="Arial" w:cs="Arial" w:eastAsia="Arial" w:hAnsi="Arial"/>
                <w:sz w:val="12"/>
                <w:szCs w:val="12"/>
                <w:color w:val="auto"/>
              </w:rPr>
              <w:t>August 5,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3"/>
              </w:rPr>
              <w:t>4.5</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5"/>
          </w:tcPr>
          <w:p>
            <w:pPr>
              <w:ind w:left="4720"/>
              <w:spacing w:after="0"/>
              <w:rPr>
                <w:sz w:val="20"/>
                <w:szCs w:val="20"/>
                <w:color w:val="auto"/>
              </w:rPr>
            </w:pPr>
            <w:r>
              <w:rPr>
                <w:rFonts w:ascii="Arial" w:cs="Arial" w:eastAsia="Arial" w:hAnsi="Arial"/>
                <w:sz w:val="12"/>
                <w:szCs w:val="12"/>
                <w:color w:val="auto"/>
              </w:rPr>
              <w:t>90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92" w:name="page93"/>
    <w:bookmarkEnd w:id="92"/>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Exhibit</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3"/>
        </w:trPr>
        <w:tc>
          <w:tcPr>
            <w:tcW w:w="88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Number</w:t>
            </w: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0" w:type="dxa"/>
            <w:vAlign w:val="bottom"/>
            <w:gridSpan w:val="10"/>
          </w:tcPr>
          <w:p>
            <w:pPr>
              <w:ind w:left="660"/>
              <w:spacing w:after="0" w:line="114" w:lineRule="exact"/>
              <w:rPr>
                <w:sz w:val="20"/>
                <w:szCs w:val="20"/>
                <w:color w:val="auto"/>
              </w:rPr>
            </w:pPr>
            <w:r>
              <w:rPr>
                <w:rFonts w:ascii="Arial" w:cs="Arial" w:eastAsia="Arial" w:hAnsi="Arial"/>
                <w:sz w:val="10"/>
                <w:szCs w:val="10"/>
                <w:b w:val="1"/>
                <w:bCs w:val="1"/>
                <w:color w:val="auto"/>
              </w:rPr>
              <w:t>Description of Document</w:t>
            </w:r>
          </w:p>
        </w:tc>
      </w:tr>
      <w:tr>
        <w:trPr>
          <w:trHeight w:val="241"/>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4.6</w:t>
            </w:r>
          </w:p>
        </w:tc>
        <w:tc>
          <w:tcPr>
            <w:tcW w:w="40" w:type="dxa"/>
            <w:vAlign w:val="bottom"/>
          </w:tcPr>
          <w:p>
            <w:pPr>
              <w:spacing w:after="0"/>
              <w:rPr>
                <w:sz w:val="20"/>
                <w:szCs w:val="20"/>
                <w:color w:val="auto"/>
              </w:rPr>
            </w:pPr>
          </w:p>
        </w:tc>
        <w:tc>
          <w:tcPr>
            <w:tcW w:w="5200" w:type="dxa"/>
            <w:vAlign w:val="bottom"/>
            <w:tcBorders>
              <w:top w:val="single" w:sz="8" w:color="auto"/>
              <w:bottom w:val="single" w:sz="8" w:color="0000EE"/>
            </w:tcBorders>
            <w:gridSpan w:val="11"/>
          </w:tcPr>
          <w:p>
            <w:pPr>
              <w:spacing w:after="0"/>
              <w:rPr>
                <w:rFonts w:ascii="Arial" w:cs="Arial" w:eastAsia="Arial" w:hAnsi="Arial"/>
                <w:sz w:val="12"/>
                <w:szCs w:val="12"/>
                <w:color w:val="0000EE"/>
                <w:w w:val="91"/>
              </w:rPr>
            </w:pPr>
            <w:hyperlink r:id="rId129">
              <w:r>
                <w:rPr>
                  <w:rFonts w:ascii="Arial" w:cs="Arial" w:eastAsia="Arial" w:hAnsi="Arial"/>
                  <w:sz w:val="12"/>
                  <w:szCs w:val="12"/>
                  <w:color w:val="0000EE"/>
                  <w:w w:val="91"/>
                </w:rPr>
                <w:t>Form of Convertible Promissory Note issued in February 2010 and March 2010 in connection with the 2010</w:t>
              </w:r>
            </w:hyperlink>
          </w:p>
        </w:tc>
        <w:tc>
          <w:tcPr>
            <w:tcW w:w="160" w:type="dxa"/>
            <w:vAlign w:val="bottom"/>
            <w:tcBorders>
              <w:top w:val="single" w:sz="8" w:color="auto"/>
            </w:tcBorders>
            <w:gridSpan w:val="3"/>
          </w:tcPr>
          <w:p>
            <w:pPr>
              <w:spacing w:after="0"/>
              <w:rPr>
                <w:sz w:val="20"/>
                <w:szCs w:val="20"/>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29">
              <w:r>
                <w:rPr>
                  <w:rFonts w:ascii="Arial" w:cs="Arial" w:eastAsia="Arial" w:hAnsi="Arial"/>
                  <w:sz w:val="12"/>
                  <w:szCs w:val="12"/>
                  <w:color w:val="0000EE"/>
                  <w:w w:val="91"/>
                </w:rPr>
                <w:t>convertible note financing.</w:t>
              </w:r>
            </w:hyperlink>
          </w:p>
        </w:tc>
        <w:tc>
          <w:tcPr>
            <w:tcW w:w="4060" w:type="dxa"/>
            <w:vAlign w:val="bottom"/>
            <w:gridSpan w:val="11"/>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95"/>
              </w:rPr>
              <w:t>4.7</w:t>
            </w:r>
          </w:p>
        </w:tc>
        <w:tc>
          <w:tcPr>
            <w:tcW w:w="40" w:type="dxa"/>
            <w:vAlign w:val="bottom"/>
          </w:tcPr>
          <w:p>
            <w:pPr>
              <w:spacing w:after="0"/>
              <w:rPr>
                <w:sz w:val="23"/>
                <w:szCs w:val="23"/>
                <w:color w:val="auto"/>
              </w:rPr>
            </w:pPr>
          </w:p>
        </w:tc>
        <w:tc>
          <w:tcPr>
            <w:tcW w:w="5360" w:type="dxa"/>
            <w:vAlign w:val="bottom"/>
            <w:gridSpan w:val="14"/>
          </w:tcPr>
          <w:p>
            <w:pPr>
              <w:spacing w:after="0"/>
              <w:rPr>
                <w:rFonts w:ascii="Arial" w:cs="Arial" w:eastAsia="Arial" w:hAnsi="Arial"/>
                <w:sz w:val="12"/>
                <w:szCs w:val="12"/>
                <w:color w:val="0000EE"/>
                <w:w w:val="94"/>
              </w:rPr>
            </w:pPr>
            <w:hyperlink r:id="rId130">
              <w:r>
                <w:rPr>
                  <w:rFonts w:ascii="Arial" w:cs="Arial" w:eastAsia="Arial" w:hAnsi="Arial"/>
                  <w:sz w:val="12"/>
                  <w:szCs w:val="12"/>
                  <w:color w:val="0000EE"/>
                  <w:w w:val="94"/>
                </w:rPr>
                <w:t>Form of Warrant to Purchase Shares issued in February 2010 and March 2010 in connection with the 2010</w:t>
              </w:r>
            </w:hyperlink>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130">
              <w:r>
                <w:rPr>
                  <w:rFonts w:ascii="Arial" w:cs="Arial" w:eastAsia="Arial" w:hAnsi="Arial"/>
                  <w:sz w:val="12"/>
                  <w:szCs w:val="12"/>
                  <w:color w:val="0000EE"/>
                  <w:w w:val="91"/>
                </w:rPr>
                <w:t>convertible note financing.</w:t>
              </w:r>
            </w:hyperlink>
          </w:p>
        </w:tc>
        <w:tc>
          <w:tcPr>
            <w:tcW w:w="3800" w:type="dxa"/>
            <w:vAlign w:val="bottom"/>
            <w:tcBorders>
              <w:top w:val="single" w:sz="8" w:color="0000EE"/>
            </w:tcBorders>
            <w:gridSpan w:val="4"/>
          </w:tcPr>
          <w:p>
            <w:pPr>
              <w:spacing w:after="0"/>
              <w:rPr>
                <w:sz w:val="10"/>
                <w:szCs w:val="10"/>
                <w:color w:val="auto"/>
              </w:rPr>
            </w:pPr>
          </w:p>
        </w:tc>
        <w:tc>
          <w:tcPr>
            <w:tcW w:w="260" w:type="dxa"/>
            <w:vAlign w:val="bottom"/>
            <w:gridSpan w:val="7"/>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95"/>
              </w:rPr>
              <w:t>4.8</w:t>
            </w:r>
          </w:p>
        </w:tc>
        <w:tc>
          <w:tcPr>
            <w:tcW w:w="40" w:type="dxa"/>
            <w:vAlign w:val="bottom"/>
          </w:tcPr>
          <w:p>
            <w:pPr>
              <w:spacing w:after="0"/>
              <w:rPr>
                <w:sz w:val="23"/>
                <w:szCs w:val="23"/>
                <w:color w:val="auto"/>
              </w:rPr>
            </w:pPr>
          </w:p>
        </w:tc>
        <w:tc>
          <w:tcPr>
            <w:tcW w:w="5260" w:type="dxa"/>
            <w:vAlign w:val="bottom"/>
            <w:tcBorders>
              <w:bottom w:val="single" w:sz="8" w:color="0000EE"/>
            </w:tcBorders>
            <w:gridSpan w:val="13"/>
          </w:tcPr>
          <w:p>
            <w:pPr>
              <w:spacing w:after="0"/>
              <w:rPr>
                <w:rFonts w:ascii="Arial" w:cs="Arial" w:eastAsia="Arial" w:hAnsi="Arial"/>
                <w:sz w:val="12"/>
                <w:szCs w:val="12"/>
                <w:color w:val="0000EE"/>
                <w:w w:val="91"/>
              </w:rPr>
            </w:pPr>
            <w:hyperlink r:id="rId131">
              <w:r>
                <w:rPr>
                  <w:rFonts w:ascii="Arial" w:cs="Arial" w:eastAsia="Arial" w:hAnsi="Arial"/>
                  <w:sz w:val="12"/>
                  <w:szCs w:val="12"/>
                  <w:color w:val="0000EE"/>
                  <w:w w:val="91"/>
                </w:rPr>
                <w:t>Form of Convertible Promissory Note issued in November 2010 in connection with the 2010 convertible note</w:t>
              </w:r>
            </w:hyperlink>
          </w:p>
        </w:tc>
        <w:tc>
          <w:tcPr>
            <w:tcW w:w="100" w:type="dxa"/>
            <w:vAlign w:val="bottom"/>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31">
              <w:r>
                <w:rPr>
                  <w:rFonts w:ascii="Arial" w:cs="Arial" w:eastAsia="Arial" w:hAnsi="Arial"/>
                  <w:sz w:val="12"/>
                  <w:szCs w:val="12"/>
                  <w:color w:val="0000EE"/>
                  <w:w w:val="89"/>
                </w:rPr>
                <w:t>financing.</w:t>
              </w:r>
            </w:hyperlink>
          </w:p>
        </w:tc>
        <w:tc>
          <w:tcPr>
            <w:tcW w:w="4880" w:type="dxa"/>
            <w:vAlign w:val="bottom"/>
            <w:gridSpan w:val="13"/>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95"/>
              </w:rPr>
              <w:t>4.9</w:t>
            </w:r>
          </w:p>
        </w:tc>
        <w:tc>
          <w:tcPr>
            <w:tcW w:w="40" w:type="dxa"/>
            <w:vAlign w:val="bottom"/>
          </w:tcPr>
          <w:p>
            <w:pPr>
              <w:spacing w:after="0"/>
              <w:rPr>
                <w:sz w:val="23"/>
                <w:szCs w:val="23"/>
                <w:color w:val="auto"/>
              </w:rPr>
            </w:pPr>
          </w:p>
        </w:tc>
        <w:tc>
          <w:tcPr>
            <w:tcW w:w="5360" w:type="dxa"/>
            <w:vAlign w:val="bottom"/>
            <w:gridSpan w:val="14"/>
          </w:tcPr>
          <w:p>
            <w:pPr>
              <w:spacing w:after="0"/>
              <w:rPr>
                <w:rFonts w:ascii="Arial" w:cs="Arial" w:eastAsia="Arial" w:hAnsi="Arial"/>
                <w:sz w:val="12"/>
                <w:szCs w:val="12"/>
                <w:color w:val="0000EE"/>
                <w:w w:val="93"/>
              </w:rPr>
            </w:pPr>
            <w:hyperlink r:id="rId132">
              <w:r>
                <w:rPr>
                  <w:rFonts w:ascii="Arial" w:cs="Arial" w:eastAsia="Arial" w:hAnsi="Arial"/>
                  <w:sz w:val="12"/>
                  <w:szCs w:val="12"/>
                  <w:color w:val="0000EE"/>
                  <w:w w:val="93"/>
                </w:rPr>
                <w:t>Form of Warrant to Purchase Shares issued in November 2010 in connection with the 2010 convertible note</w:t>
              </w:r>
            </w:hyperlink>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9"/>
              </w:rPr>
            </w:pPr>
            <w:hyperlink r:id="rId132">
              <w:r>
                <w:rPr>
                  <w:rFonts w:ascii="Arial" w:cs="Arial" w:eastAsia="Arial" w:hAnsi="Arial"/>
                  <w:sz w:val="12"/>
                  <w:szCs w:val="12"/>
                  <w:color w:val="0000EE"/>
                  <w:w w:val="89"/>
                </w:rPr>
                <w:t>financing.</w:t>
              </w:r>
            </w:hyperlink>
          </w:p>
        </w:tc>
        <w:tc>
          <w:tcPr>
            <w:tcW w:w="4680" w:type="dxa"/>
            <w:vAlign w:val="bottom"/>
            <w:tcBorders>
              <w:top w:val="single" w:sz="8" w:color="0000EE"/>
            </w:tcBorders>
            <w:gridSpan w:val="9"/>
          </w:tcPr>
          <w:p>
            <w:pPr>
              <w:spacing w:after="0"/>
              <w:rPr>
                <w:sz w:val="10"/>
                <w:szCs w:val="10"/>
                <w:color w:val="auto"/>
              </w:rPr>
            </w:pPr>
          </w:p>
        </w:tc>
        <w:tc>
          <w:tcPr>
            <w:tcW w:w="200" w:type="dxa"/>
            <w:vAlign w:val="bottom"/>
            <w:gridSpan w:val="4"/>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4.10</w:t>
            </w:r>
          </w:p>
        </w:tc>
        <w:tc>
          <w:tcPr>
            <w:tcW w:w="40" w:type="dxa"/>
            <w:vAlign w:val="bottom"/>
          </w:tcPr>
          <w:p>
            <w:pPr>
              <w:spacing w:after="0"/>
              <w:rPr>
                <w:sz w:val="23"/>
                <w:szCs w:val="23"/>
                <w:color w:val="auto"/>
              </w:rPr>
            </w:pPr>
          </w:p>
        </w:tc>
        <w:tc>
          <w:tcPr>
            <w:tcW w:w="5140" w:type="dxa"/>
            <w:vAlign w:val="bottom"/>
            <w:tcBorders>
              <w:bottom w:val="single" w:sz="8" w:color="0000EE"/>
            </w:tcBorders>
            <w:gridSpan w:val="9"/>
          </w:tcPr>
          <w:p>
            <w:pPr>
              <w:spacing w:after="0"/>
              <w:rPr>
                <w:rFonts w:ascii="Arial" w:cs="Arial" w:eastAsia="Arial" w:hAnsi="Arial"/>
                <w:sz w:val="12"/>
                <w:szCs w:val="12"/>
                <w:color w:val="0000EE"/>
                <w:w w:val="91"/>
              </w:rPr>
            </w:pPr>
            <w:hyperlink r:id="rId133">
              <w:r>
                <w:rPr>
                  <w:rFonts w:ascii="Arial" w:cs="Arial" w:eastAsia="Arial" w:hAnsi="Arial"/>
                  <w:sz w:val="12"/>
                  <w:szCs w:val="12"/>
                  <w:color w:val="0000EE"/>
                  <w:w w:val="91"/>
                </w:rPr>
                <w:t>Form of Convertible Promissory Note issued in January 2012 in connection with the 2012 convertible note</w:t>
              </w:r>
            </w:hyperlink>
          </w:p>
        </w:tc>
        <w:tc>
          <w:tcPr>
            <w:tcW w:w="220" w:type="dxa"/>
            <w:vAlign w:val="bottom"/>
            <w:gridSpan w:val="5"/>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33">
              <w:r>
                <w:rPr>
                  <w:rFonts w:ascii="Arial" w:cs="Arial" w:eastAsia="Arial" w:hAnsi="Arial"/>
                  <w:sz w:val="12"/>
                  <w:szCs w:val="12"/>
                  <w:color w:val="0000EE"/>
                  <w:w w:val="89"/>
                </w:rPr>
                <w:t>financing.</w:t>
              </w:r>
            </w:hyperlink>
          </w:p>
        </w:tc>
        <w:tc>
          <w:tcPr>
            <w:tcW w:w="4880" w:type="dxa"/>
            <w:vAlign w:val="bottom"/>
            <w:gridSpan w:val="13"/>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4.11</w:t>
            </w:r>
          </w:p>
        </w:tc>
        <w:tc>
          <w:tcPr>
            <w:tcW w:w="40" w:type="dxa"/>
            <w:vAlign w:val="bottom"/>
          </w:tcPr>
          <w:p>
            <w:pPr>
              <w:spacing w:after="0"/>
              <w:rPr>
                <w:sz w:val="23"/>
                <w:szCs w:val="23"/>
                <w:color w:val="auto"/>
              </w:rPr>
            </w:pPr>
          </w:p>
        </w:tc>
        <w:tc>
          <w:tcPr>
            <w:tcW w:w="5120" w:type="dxa"/>
            <w:vAlign w:val="bottom"/>
            <w:tcBorders>
              <w:bottom w:val="single" w:sz="8" w:color="0000EE"/>
            </w:tcBorders>
            <w:gridSpan w:val="8"/>
          </w:tcPr>
          <w:p>
            <w:pPr>
              <w:spacing w:after="0"/>
              <w:rPr>
                <w:rFonts w:ascii="Arial" w:cs="Arial" w:eastAsia="Arial" w:hAnsi="Arial"/>
                <w:sz w:val="12"/>
                <w:szCs w:val="12"/>
                <w:color w:val="0000EE"/>
                <w:w w:val="89"/>
              </w:rPr>
            </w:pPr>
            <w:hyperlink r:id="rId134">
              <w:r>
                <w:rPr>
                  <w:rFonts w:ascii="Arial" w:cs="Arial" w:eastAsia="Arial" w:hAnsi="Arial"/>
                  <w:sz w:val="12"/>
                  <w:szCs w:val="12"/>
                  <w:color w:val="0000EE"/>
                  <w:w w:val="89"/>
                </w:rPr>
                <w:t>Form of Warrant to Purchase Shares issued in January 2012 in connection with Soleno Therapeutics, Inc.’s</w:t>
              </w:r>
            </w:hyperlink>
          </w:p>
        </w:tc>
        <w:tc>
          <w:tcPr>
            <w:tcW w:w="240" w:type="dxa"/>
            <w:vAlign w:val="bottom"/>
            <w:gridSpan w:val="6"/>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tcBorders>
              <w:bottom w:val="single" w:sz="8" w:color="0000EE"/>
            </w:tcBorders>
            <w:gridSpan w:val="4"/>
          </w:tcPr>
          <w:p>
            <w:pPr>
              <w:spacing w:after="0" w:line="124" w:lineRule="exact"/>
              <w:rPr>
                <w:rFonts w:ascii="Arial" w:cs="Arial" w:eastAsia="Arial" w:hAnsi="Arial"/>
                <w:sz w:val="12"/>
                <w:szCs w:val="12"/>
                <w:color w:val="0000EE"/>
                <w:w w:val="90"/>
              </w:rPr>
            </w:pPr>
            <w:hyperlink r:id="rId134">
              <w:r>
                <w:rPr>
                  <w:rFonts w:ascii="Arial" w:cs="Arial" w:eastAsia="Arial" w:hAnsi="Arial"/>
                  <w:sz w:val="12"/>
                  <w:szCs w:val="12"/>
                  <w:color w:val="0000EE"/>
                  <w:w w:val="90"/>
                </w:rPr>
                <w:t>2012 convertible note financing.</w:t>
              </w:r>
            </w:hyperlink>
          </w:p>
        </w:tc>
        <w:tc>
          <w:tcPr>
            <w:tcW w:w="3800" w:type="dxa"/>
            <w:vAlign w:val="bottom"/>
            <w:gridSpan w:val="10"/>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4.12</w:t>
            </w:r>
          </w:p>
        </w:tc>
        <w:tc>
          <w:tcPr>
            <w:tcW w:w="40" w:type="dxa"/>
            <w:vAlign w:val="bottom"/>
          </w:tcPr>
          <w:p>
            <w:pPr>
              <w:spacing w:after="0"/>
              <w:rPr>
                <w:sz w:val="23"/>
                <w:szCs w:val="23"/>
                <w:color w:val="auto"/>
              </w:rPr>
            </w:pPr>
          </w:p>
        </w:tc>
        <w:tc>
          <w:tcPr>
            <w:tcW w:w="5000" w:type="dxa"/>
            <w:vAlign w:val="bottom"/>
            <w:tcBorders>
              <w:bottom w:val="single" w:sz="8" w:color="0000EE"/>
            </w:tcBorders>
            <w:gridSpan w:val="6"/>
          </w:tcPr>
          <w:p>
            <w:pPr>
              <w:spacing w:after="0"/>
              <w:rPr>
                <w:rFonts w:ascii="Arial" w:cs="Arial" w:eastAsia="Arial" w:hAnsi="Arial"/>
                <w:sz w:val="12"/>
                <w:szCs w:val="12"/>
                <w:color w:val="0000EE"/>
                <w:w w:val="91"/>
              </w:rPr>
            </w:pPr>
            <w:hyperlink r:id="rId135">
              <w:r>
                <w:rPr>
                  <w:rFonts w:ascii="Arial" w:cs="Arial" w:eastAsia="Arial" w:hAnsi="Arial"/>
                  <w:sz w:val="12"/>
                  <w:szCs w:val="12"/>
                  <w:color w:val="0000EE"/>
                  <w:w w:val="91"/>
                </w:rPr>
                <w:t>Form of Convertible Promissory Note issued in July 2012 and August 2012 in connection with the 2012</w:t>
              </w:r>
            </w:hyperlink>
          </w:p>
        </w:tc>
        <w:tc>
          <w:tcPr>
            <w:tcW w:w="360" w:type="dxa"/>
            <w:vAlign w:val="bottom"/>
            <w:gridSpan w:val="8"/>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35">
              <w:r>
                <w:rPr>
                  <w:rFonts w:ascii="Arial" w:cs="Arial" w:eastAsia="Arial" w:hAnsi="Arial"/>
                  <w:sz w:val="12"/>
                  <w:szCs w:val="12"/>
                  <w:color w:val="0000EE"/>
                  <w:w w:val="91"/>
                </w:rPr>
                <w:t>convertible note financing.</w:t>
              </w:r>
            </w:hyperlink>
          </w:p>
        </w:tc>
        <w:tc>
          <w:tcPr>
            <w:tcW w:w="4060" w:type="dxa"/>
            <w:vAlign w:val="bottom"/>
            <w:gridSpan w:val="11"/>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4.13</w:t>
            </w:r>
          </w:p>
        </w:tc>
        <w:tc>
          <w:tcPr>
            <w:tcW w:w="40" w:type="dxa"/>
            <w:vAlign w:val="bottom"/>
          </w:tcPr>
          <w:p>
            <w:pPr>
              <w:spacing w:after="0"/>
              <w:rPr>
                <w:sz w:val="23"/>
                <w:szCs w:val="23"/>
                <w:color w:val="auto"/>
              </w:rPr>
            </w:pPr>
          </w:p>
        </w:tc>
        <w:tc>
          <w:tcPr>
            <w:tcW w:w="5360" w:type="dxa"/>
            <w:vAlign w:val="bottom"/>
            <w:gridSpan w:val="14"/>
          </w:tcPr>
          <w:p>
            <w:pPr>
              <w:spacing w:after="0"/>
              <w:rPr>
                <w:rFonts w:ascii="Arial" w:cs="Arial" w:eastAsia="Arial" w:hAnsi="Arial"/>
                <w:sz w:val="12"/>
                <w:szCs w:val="12"/>
                <w:color w:val="0000EE"/>
                <w:w w:val="98"/>
              </w:rPr>
            </w:pPr>
            <w:hyperlink r:id="rId136">
              <w:r>
                <w:rPr>
                  <w:rFonts w:ascii="Arial" w:cs="Arial" w:eastAsia="Arial" w:hAnsi="Arial"/>
                  <w:sz w:val="12"/>
                  <w:szCs w:val="12"/>
                  <w:color w:val="0000EE"/>
                  <w:w w:val="98"/>
                </w:rPr>
                <w:t>Form of Warrant to Purchase Shares issued in July 2012 and August 2012 in connection with the 2012</w:t>
              </w:r>
            </w:hyperlink>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136">
              <w:r>
                <w:rPr>
                  <w:rFonts w:ascii="Arial" w:cs="Arial" w:eastAsia="Arial" w:hAnsi="Arial"/>
                  <w:sz w:val="12"/>
                  <w:szCs w:val="12"/>
                  <w:color w:val="0000EE"/>
                  <w:w w:val="91"/>
                </w:rPr>
                <w:t>convertible note financing.</w:t>
              </w:r>
            </w:hyperlink>
          </w:p>
        </w:tc>
        <w:tc>
          <w:tcPr>
            <w:tcW w:w="3600" w:type="dxa"/>
            <w:vAlign w:val="bottom"/>
            <w:tcBorders>
              <w:top w:val="single" w:sz="8" w:color="0000EE"/>
            </w:tcBorders>
            <w:gridSpan w:val="2"/>
          </w:tcPr>
          <w:p>
            <w:pPr>
              <w:spacing w:after="0"/>
              <w:rPr>
                <w:sz w:val="10"/>
                <w:szCs w:val="10"/>
                <w:color w:val="auto"/>
              </w:rPr>
            </w:pPr>
          </w:p>
        </w:tc>
        <w:tc>
          <w:tcPr>
            <w:tcW w:w="460" w:type="dxa"/>
            <w:vAlign w:val="bottom"/>
            <w:gridSpan w:val="9"/>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4.14</w:t>
            </w:r>
          </w:p>
        </w:tc>
        <w:tc>
          <w:tcPr>
            <w:tcW w:w="40" w:type="dxa"/>
            <w:vAlign w:val="bottom"/>
          </w:tcPr>
          <w:p>
            <w:pPr>
              <w:spacing w:after="0"/>
              <w:rPr>
                <w:sz w:val="23"/>
                <w:szCs w:val="23"/>
                <w:color w:val="auto"/>
              </w:rPr>
            </w:pPr>
          </w:p>
        </w:tc>
        <w:tc>
          <w:tcPr>
            <w:tcW w:w="5360" w:type="dxa"/>
            <w:vAlign w:val="bottom"/>
            <w:gridSpan w:val="14"/>
          </w:tcPr>
          <w:p>
            <w:pPr>
              <w:spacing w:after="0"/>
              <w:rPr>
                <w:rFonts w:ascii="Arial" w:cs="Arial" w:eastAsia="Arial" w:hAnsi="Arial"/>
                <w:sz w:val="12"/>
                <w:szCs w:val="12"/>
                <w:color w:val="0000EE"/>
                <w:w w:val="94"/>
              </w:rPr>
            </w:pPr>
            <w:hyperlink r:id="rId137">
              <w:r>
                <w:rPr>
                  <w:rFonts w:ascii="Arial" w:cs="Arial" w:eastAsia="Arial" w:hAnsi="Arial"/>
                  <w:sz w:val="12"/>
                  <w:szCs w:val="12"/>
                  <w:color w:val="0000EE"/>
                  <w:w w:val="94"/>
                </w:rPr>
                <w:t>Form of Convertible Promissory Note issued in April, August and October 2014 in connection with the 2014</w:t>
              </w:r>
            </w:hyperlink>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1"/>
              </w:rPr>
            </w:pPr>
            <w:hyperlink r:id="rId137">
              <w:r>
                <w:rPr>
                  <w:rFonts w:ascii="Arial" w:cs="Arial" w:eastAsia="Arial" w:hAnsi="Arial"/>
                  <w:sz w:val="12"/>
                  <w:szCs w:val="12"/>
                  <w:color w:val="0000EE"/>
                  <w:w w:val="91"/>
                </w:rPr>
                <w:t>convertible note financing.</w:t>
              </w:r>
            </w:hyperlink>
          </w:p>
        </w:tc>
        <w:tc>
          <w:tcPr>
            <w:tcW w:w="3920" w:type="dxa"/>
            <w:vAlign w:val="bottom"/>
            <w:tcBorders>
              <w:top w:val="single" w:sz="8" w:color="0000EE"/>
            </w:tcBorders>
            <w:gridSpan w:val="9"/>
          </w:tcPr>
          <w:p>
            <w:pPr>
              <w:spacing w:after="0"/>
              <w:rPr>
                <w:sz w:val="10"/>
                <w:szCs w:val="10"/>
                <w:color w:val="auto"/>
              </w:rPr>
            </w:pPr>
          </w:p>
        </w:tc>
        <w:tc>
          <w:tcPr>
            <w:tcW w:w="140" w:type="dxa"/>
            <w:vAlign w:val="bottom"/>
            <w:gridSpan w:val="2"/>
          </w:tcPr>
          <w:p>
            <w:pPr>
              <w:spacing w:after="0"/>
              <w:rPr>
                <w:sz w:val="10"/>
                <w:szCs w:val="10"/>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4.15</w:t>
            </w:r>
          </w:p>
        </w:tc>
        <w:tc>
          <w:tcPr>
            <w:tcW w:w="40" w:type="dxa"/>
            <w:vAlign w:val="bottom"/>
          </w:tcPr>
          <w:p>
            <w:pPr>
              <w:spacing w:after="0"/>
              <w:rPr>
                <w:sz w:val="23"/>
                <w:szCs w:val="23"/>
                <w:color w:val="auto"/>
              </w:rPr>
            </w:pPr>
          </w:p>
        </w:tc>
        <w:tc>
          <w:tcPr>
            <w:tcW w:w="5140" w:type="dxa"/>
            <w:vAlign w:val="bottom"/>
            <w:tcBorders>
              <w:bottom w:val="single" w:sz="8" w:color="0000EE"/>
            </w:tcBorders>
            <w:gridSpan w:val="9"/>
          </w:tcPr>
          <w:p>
            <w:pPr>
              <w:spacing w:after="0"/>
              <w:rPr>
                <w:rFonts w:ascii="Arial" w:cs="Arial" w:eastAsia="Arial" w:hAnsi="Arial"/>
                <w:sz w:val="12"/>
                <w:szCs w:val="12"/>
                <w:color w:val="0000EE"/>
                <w:w w:val="90"/>
              </w:rPr>
            </w:pPr>
            <w:hyperlink r:id="rId138">
              <w:r>
                <w:rPr>
                  <w:rFonts w:ascii="Arial" w:cs="Arial" w:eastAsia="Arial" w:hAnsi="Arial"/>
                  <w:sz w:val="12"/>
                  <w:szCs w:val="12"/>
                  <w:color w:val="0000EE"/>
                  <w:w w:val="90"/>
                </w:rPr>
                <w:t>Form of Warrant to Purchase Shares issued in April, August and October 2014 in connection with the 2014</w:t>
              </w:r>
            </w:hyperlink>
          </w:p>
        </w:tc>
        <w:tc>
          <w:tcPr>
            <w:tcW w:w="220" w:type="dxa"/>
            <w:vAlign w:val="bottom"/>
            <w:gridSpan w:val="5"/>
          </w:tcPr>
          <w:p>
            <w:pPr>
              <w:spacing w:after="0"/>
              <w:rPr>
                <w:sz w:val="23"/>
                <w:szCs w:val="23"/>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60" w:type="dxa"/>
            <w:vAlign w:val="bottom"/>
            <w:gridSpan w:val="14"/>
          </w:tcPr>
          <w:p>
            <w:pPr>
              <w:spacing w:after="0" w:line="124" w:lineRule="exact"/>
              <w:rPr>
                <w:rFonts w:ascii="Arial" w:cs="Arial" w:eastAsia="Arial" w:hAnsi="Arial"/>
                <w:sz w:val="12"/>
                <w:szCs w:val="12"/>
                <w:color w:val="0000EE"/>
              </w:rPr>
            </w:pPr>
            <w:hyperlink r:id="rId138">
              <w:r>
                <w:rPr>
                  <w:rFonts w:ascii="Arial" w:cs="Arial" w:eastAsia="Arial" w:hAnsi="Arial"/>
                  <w:sz w:val="12"/>
                  <w:szCs w:val="12"/>
                  <w:color w:val="0000EE"/>
                </w:rPr>
                <w:t>convertible note financing.</w:t>
              </w:r>
            </w:hyperlink>
          </w:p>
        </w:tc>
      </w:tr>
      <w:tr>
        <w:trPr>
          <w:trHeight w:val="295"/>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4.16</w:t>
            </w:r>
          </w:p>
        </w:tc>
        <w:tc>
          <w:tcPr>
            <w:tcW w:w="40" w:type="dxa"/>
            <w:vAlign w:val="bottom"/>
          </w:tcPr>
          <w:p>
            <w:pPr>
              <w:spacing w:after="0"/>
              <w:rPr>
                <w:sz w:val="24"/>
                <w:szCs w:val="24"/>
                <w:color w:val="auto"/>
              </w:rPr>
            </w:pPr>
          </w:p>
        </w:tc>
        <w:tc>
          <w:tcPr>
            <w:tcW w:w="1280" w:type="dxa"/>
            <w:vAlign w:val="bottom"/>
            <w:tcBorders>
              <w:top w:val="single" w:sz="8" w:color="0000EE"/>
            </w:tcBorders>
            <w:gridSpan w:val="2"/>
          </w:tcPr>
          <w:p>
            <w:pPr>
              <w:spacing w:after="0"/>
              <w:rPr>
                <w:rFonts w:ascii="Arial" w:cs="Arial" w:eastAsia="Arial" w:hAnsi="Arial"/>
                <w:sz w:val="12"/>
                <w:szCs w:val="12"/>
                <w:u w:val="single" w:color="auto"/>
                <w:color w:val="0000EE"/>
              </w:rPr>
            </w:pPr>
            <w:hyperlink r:id="rId139">
              <w:r>
                <w:rPr>
                  <w:rFonts w:ascii="Arial" w:cs="Arial" w:eastAsia="Arial" w:hAnsi="Arial"/>
                  <w:sz w:val="12"/>
                  <w:szCs w:val="12"/>
                  <w:u w:val="single" w:color="auto"/>
                  <w:color w:val="0000EE"/>
                </w:rPr>
                <w:t>Form of unit certificate.</w:t>
              </w:r>
            </w:hyperlink>
          </w:p>
        </w:tc>
        <w:tc>
          <w:tcPr>
            <w:tcW w:w="4080" w:type="dxa"/>
            <w:vAlign w:val="bottom"/>
            <w:gridSpan w:val="12"/>
          </w:tcPr>
          <w:p>
            <w:pPr>
              <w:spacing w:after="0"/>
              <w:rPr>
                <w:sz w:val="24"/>
                <w:szCs w:val="24"/>
                <w:color w:val="auto"/>
              </w:rPr>
            </w:pPr>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4.17</w:t>
            </w:r>
          </w:p>
        </w:tc>
        <w:tc>
          <w:tcPr>
            <w:tcW w:w="40" w:type="dxa"/>
            <w:vAlign w:val="bottom"/>
          </w:tcPr>
          <w:p>
            <w:pPr>
              <w:spacing w:after="0"/>
              <w:rPr>
                <w:sz w:val="24"/>
                <w:szCs w:val="24"/>
                <w:color w:val="auto"/>
              </w:rPr>
            </w:pPr>
          </w:p>
        </w:tc>
        <w:tc>
          <w:tcPr>
            <w:tcW w:w="5360" w:type="dxa"/>
            <w:vAlign w:val="bottom"/>
            <w:gridSpan w:val="14"/>
          </w:tcPr>
          <w:p>
            <w:pPr>
              <w:spacing w:after="0"/>
              <w:rPr>
                <w:rFonts w:ascii="Arial" w:cs="Arial" w:eastAsia="Arial" w:hAnsi="Arial"/>
                <w:sz w:val="12"/>
                <w:szCs w:val="12"/>
                <w:u w:val="single" w:color="auto"/>
                <w:color w:val="0000EE"/>
              </w:rPr>
            </w:pPr>
            <w:hyperlink r:id="rId140">
              <w:r>
                <w:rPr>
                  <w:rFonts w:ascii="Arial" w:cs="Arial" w:eastAsia="Arial" w:hAnsi="Arial"/>
                  <w:sz w:val="12"/>
                  <w:szCs w:val="12"/>
                  <w:u w:val="single" w:color="auto"/>
                  <w:color w:val="0000EE"/>
                </w:rPr>
                <w:t>Form of Series B Warrant Agreement.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4.18</w:t>
            </w:r>
          </w:p>
        </w:tc>
        <w:tc>
          <w:tcPr>
            <w:tcW w:w="40" w:type="dxa"/>
            <w:vAlign w:val="bottom"/>
          </w:tcPr>
          <w:p>
            <w:pPr>
              <w:spacing w:after="0"/>
              <w:rPr>
                <w:sz w:val="24"/>
                <w:szCs w:val="24"/>
                <w:color w:val="auto"/>
              </w:rPr>
            </w:pPr>
          </w:p>
        </w:tc>
        <w:tc>
          <w:tcPr>
            <w:tcW w:w="5360" w:type="dxa"/>
            <w:vAlign w:val="bottom"/>
            <w:gridSpan w:val="14"/>
          </w:tcPr>
          <w:p>
            <w:pPr>
              <w:spacing w:after="0"/>
              <w:rPr>
                <w:rFonts w:ascii="Arial" w:cs="Arial" w:eastAsia="Arial" w:hAnsi="Arial"/>
                <w:sz w:val="12"/>
                <w:szCs w:val="12"/>
                <w:u w:val="single" w:color="auto"/>
                <w:color w:val="0000EE"/>
              </w:rPr>
            </w:pPr>
            <w:hyperlink r:id="rId141">
              <w:r>
                <w:rPr>
                  <w:rFonts w:ascii="Arial" w:cs="Arial" w:eastAsia="Arial" w:hAnsi="Arial"/>
                  <w:sz w:val="12"/>
                  <w:szCs w:val="12"/>
                  <w:u w:val="single" w:color="auto"/>
                  <w:color w:val="0000EE"/>
                </w:rPr>
                <w:t>Form of the Series B Warrant certificate.</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4.19</w:t>
            </w:r>
          </w:p>
        </w:tc>
        <w:tc>
          <w:tcPr>
            <w:tcW w:w="40" w:type="dxa"/>
            <w:vAlign w:val="bottom"/>
          </w:tcPr>
          <w:p>
            <w:pPr>
              <w:spacing w:after="0"/>
              <w:rPr>
                <w:sz w:val="24"/>
                <w:szCs w:val="24"/>
                <w:color w:val="auto"/>
              </w:rPr>
            </w:pPr>
          </w:p>
        </w:tc>
        <w:tc>
          <w:tcPr>
            <w:tcW w:w="5360" w:type="dxa"/>
            <w:vAlign w:val="bottom"/>
            <w:gridSpan w:val="14"/>
          </w:tcPr>
          <w:p>
            <w:pPr>
              <w:spacing w:after="0"/>
              <w:rPr>
                <w:rFonts w:ascii="Arial" w:cs="Arial" w:eastAsia="Arial" w:hAnsi="Arial"/>
                <w:sz w:val="12"/>
                <w:szCs w:val="12"/>
                <w:u w:val="single" w:color="auto"/>
                <w:color w:val="0000EE"/>
              </w:rPr>
            </w:pPr>
            <w:hyperlink r:id="rId142">
              <w:r>
                <w:rPr>
                  <w:rFonts w:ascii="Arial" w:cs="Arial" w:eastAsia="Arial" w:hAnsi="Arial"/>
                  <w:sz w:val="12"/>
                  <w:szCs w:val="12"/>
                  <w:u w:val="single" w:color="auto"/>
                  <w:color w:val="0000EE"/>
                </w:rPr>
                <w:t>Form of the Series C Warrant Agreement.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4.20</w:t>
            </w:r>
          </w:p>
        </w:tc>
        <w:tc>
          <w:tcPr>
            <w:tcW w:w="40" w:type="dxa"/>
            <w:vAlign w:val="bottom"/>
          </w:tcPr>
          <w:p>
            <w:pPr>
              <w:spacing w:after="0"/>
              <w:rPr>
                <w:sz w:val="24"/>
                <w:szCs w:val="24"/>
                <w:color w:val="auto"/>
              </w:rPr>
            </w:pPr>
          </w:p>
        </w:tc>
        <w:tc>
          <w:tcPr>
            <w:tcW w:w="5360" w:type="dxa"/>
            <w:vAlign w:val="bottom"/>
            <w:gridSpan w:val="14"/>
          </w:tcPr>
          <w:p>
            <w:pPr>
              <w:spacing w:after="0"/>
              <w:rPr>
                <w:rFonts w:ascii="Arial" w:cs="Arial" w:eastAsia="Arial" w:hAnsi="Arial"/>
                <w:sz w:val="12"/>
                <w:szCs w:val="12"/>
                <w:u w:val="single" w:color="auto"/>
                <w:color w:val="0000EE"/>
              </w:rPr>
            </w:pPr>
            <w:hyperlink r:id="rId143">
              <w:r>
                <w:rPr>
                  <w:rFonts w:ascii="Arial" w:cs="Arial" w:eastAsia="Arial" w:hAnsi="Arial"/>
                  <w:sz w:val="12"/>
                  <w:szCs w:val="12"/>
                  <w:u w:val="single" w:color="auto"/>
                  <w:color w:val="0000EE"/>
                </w:rPr>
                <w:t>Form of the Series C Warrant certificate.</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4.21</w:t>
            </w:r>
          </w:p>
        </w:tc>
        <w:tc>
          <w:tcPr>
            <w:tcW w:w="40" w:type="dxa"/>
            <w:vAlign w:val="bottom"/>
          </w:tcPr>
          <w:p>
            <w:pPr>
              <w:spacing w:after="0"/>
              <w:rPr>
                <w:sz w:val="24"/>
                <w:szCs w:val="24"/>
                <w:color w:val="auto"/>
              </w:rPr>
            </w:pPr>
          </w:p>
        </w:tc>
        <w:tc>
          <w:tcPr>
            <w:tcW w:w="5360" w:type="dxa"/>
            <w:vAlign w:val="bottom"/>
            <w:gridSpan w:val="14"/>
          </w:tcPr>
          <w:p>
            <w:pPr>
              <w:spacing w:after="0"/>
              <w:rPr>
                <w:rFonts w:ascii="Arial" w:cs="Arial" w:eastAsia="Arial" w:hAnsi="Arial"/>
                <w:sz w:val="12"/>
                <w:szCs w:val="12"/>
                <w:u w:val="single" w:color="auto"/>
                <w:color w:val="0000EE"/>
              </w:rPr>
            </w:pPr>
            <w:hyperlink r:id="rId144">
              <w:r>
                <w:rPr>
                  <w:rFonts w:ascii="Arial" w:cs="Arial" w:eastAsia="Arial" w:hAnsi="Arial"/>
                  <w:sz w:val="12"/>
                  <w:szCs w:val="12"/>
                  <w:u w:val="single" w:color="auto"/>
                  <w:color w:val="0000EE"/>
                </w:rPr>
                <w:t>Form of Series D Common Stock Purchase Warrant.</w:t>
              </w:r>
            </w:hyperlink>
          </w:p>
        </w:tc>
      </w:tr>
      <w:tr>
        <w:trPr>
          <w:trHeight w:val="288"/>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5"/>
          </w:tcPr>
          <w:p>
            <w:pPr>
              <w:ind w:left="4700"/>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8947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Arial" w:cs="Arial" w:eastAsia="Arial" w:hAnsi="Arial"/>
          <w:sz w:val="10"/>
          <w:szCs w:val="10"/>
          <w:b w:val="1"/>
          <w:bCs w:val="1"/>
          <w:color w:val="auto"/>
        </w:rPr>
        <w:t>Incorporated by Reference from</w:t>
      </w:r>
    </w:p>
    <w:tbl>
      <w:tblPr>
        <w:tblLayout w:type="fixed"/>
        <w:tblInd w:w="0" w:type="dxa"/>
        <w:tblCellMar>
          <w:top w:w="0" w:type="dxa"/>
          <w:left w:w="0" w:type="dxa"/>
          <w:bottom w:w="0" w:type="dxa"/>
          <w:right w:w="0" w:type="dxa"/>
        </w:tblCellMar>
      </w:tblPr>
      <w:tr>
        <w:trPr>
          <w:trHeight w:val="74"/>
        </w:trPr>
        <w:tc>
          <w:tcPr>
            <w:tcW w:w="1280" w:type="dxa"/>
            <w:vAlign w:val="bottom"/>
            <w:tcBorders>
              <w:top w:val="single" w:sz="8" w:color="auto"/>
            </w:tcBorders>
            <w:gridSpan w:val="2"/>
          </w:tcPr>
          <w:p>
            <w:pPr>
              <w:ind w:left="380"/>
              <w:spacing w:after="0" w:line="74" w:lineRule="exact"/>
              <w:rPr>
                <w:sz w:val="20"/>
                <w:szCs w:val="20"/>
                <w:color w:val="auto"/>
              </w:rPr>
            </w:pPr>
            <w:r>
              <w:rPr>
                <w:rFonts w:ascii="Arial" w:cs="Arial" w:eastAsia="Arial" w:hAnsi="Arial"/>
                <w:sz w:val="8"/>
                <w:szCs w:val="8"/>
                <w:b w:val="1"/>
                <w:bCs w:val="1"/>
                <w:color w:val="auto"/>
              </w:rPr>
              <w:t>Registrant’s</w:t>
            </w:r>
          </w:p>
        </w:tc>
        <w:tc>
          <w:tcPr>
            <w:tcW w:w="2140" w:type="dxa"/>
            <w:vAlign w:val="bottom"/>
            <w:tcBorders>
              <w:top w:val="single" w:sz="8" w:color="auto"/>
            </w:tcBorders>
            <w:gridSpan w:val="2"/>
          </w:tcPr>
          <w:p>
            <w:pPr>
              <w:ind w:left="84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Filed</w:t>
            </w:r>
          </w:p>
        </w:tc>
      </w:tr>
      <w:tr>
        <w:trPr>
          <w:trHeight w:val="113"/>
        </w:trPr>
        <w:tc>
          <w:tcPr>
            <w:tcW w:w="1240" w:type="dxa"/>
            <w:vAlign w:val="bottom"/>
            <w:tcBorders>
              <w:bottom w:val="single" w:sz="8" w:color="auto"/>
            </w:tcBorders>
          </w:tcPr>
          <w:p>
            <w:pPr>
              <w:ind w:left="520"/>
              <w:spacing w:after="0" w:line="114" w:lineRule="exact"/>
              <w:rPr>
                <w:sz w:val="20"/>
                <w:szCs w:val="20"/>
                <w:color w:val="auto"/>
              </w:rPr>
            </w:pPr>
            <w:r>
              <w:rPr>
                <w:rFonts w:ascii="Arial" w:cs="Arial" w:eastAsia="Arial" w:hAnsi="Arial"/>
                <w:sz w:val="10"/>
                <w:szCs w:val="10"/>
                <w:b w:val="1"/>
                <w:bCs w:val="1"/>
                <w:color w:val="auto"/>
              </w:rPr>
              <w:t>Form</w:t>
            </w:r>
          </w:p>
        </w:tc>
        <w:tc>
          <w:tcPr>
            <w:tcW w:w="40" w:type="dxa"/>
            <w:vAlign w:val="bottom"/>
          </w:tcPr>
          <w:p>
            <w:pPr>
              <w:spacing w:after="0"/>
              <w:rPr>
                <w:sz w:val="9"/>
                <w:szCs w:val="9"/>
                <w:color w:val="auto"/>
              </w:rPr>
            </w:pPr>
          </w:p>
        </w:tc>
        <w:tc>
          <w:tcPr>
            <w:tcW w:w="2100" w:type="dxa"/>
            <w:vAlign w:val="bottom"/>
            <w:tcBorders>
              <w:bottom w:val="single" w:sz="8" w:color="auto"/>
            </w:tcBorders>
          </w:tcPr>
          <w:p>
            <w:pPr>
              <w:ind w:left="780"/>
              <w:spacing w:after="0" w:line="114" w:lineRule="exact"/>
              <w:rPr>
                <w:sz w:val="20"/>
                <w:szCs w:val="20"/>
                <w:color w:val="auto"/>
              </w:rPr>
            </w:pPr>
            <w:r>
              <w:rPr>
                <w:rFonts w:ascii="Arial" w:cs="Arial" w:eastAsia="Arial" w:hAnsi="Arial"/>
                <w:sz w:val="10"/>
                <w:szCs w:val="10"/>
                <w:b w:val="1"/>
                <w:bCs w:val="1"/>
                <w:color w:val="auto"/>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r>
      <w:tr>
        <w:trPr>
          <w:trHeight w:val="41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4.7</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4.8</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4.9</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4.10</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4.12</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4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4.15</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40" w:type="dxa"/>
            <w:vAlign w:val="bottom"/>
            <w:gridSpan w:val="2"/>
          </w:tcPr>
          <w:p>
            <w:pPr>
              <w:spacing w:after="0"/>
              <w:rPr>
                <w:sz w:val="20"/>
                <w:szCs w:val="20"/>
                <w:color w:val="auto"/>
              </w:rPr>
            </w:pPr>
            <w:r>
              <w:rPr>
                <w:rFonts w:ascii="Arial" w:cs="Arial" w:eastAsia="Arial" w:hAnsi="Arial"/>
                <w:sz w:val="12"/>
                <w:szCs w:val="12"/>
                <w:color w:val="auto"/>
              </w:rPr>
              <w:t>August 5,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40" w:type="dxa"/>
            <w:vAlign w:val="bottom"/>
            <w:gridSpan w:val="2"/>
          </w:tcPr>
          <w:p>
            <w:pPr>
              <w:spacing w:after="0"/>
              <w:rPr>
                <w:sz w:val="20"/>
                <w:szCs w:val="20"/>
                <w:color w:val="auto"/>
              </w:rPr>
            </w:pPr>
            <w:r>
              <w:rPr>
                <w:rFonts w:ascii="Arial" w:cs="Arial" w:eastAsia="Arial" w:hAnsi="Arial"/>
                <w:sz w:val="12"/>
                <w:szCs w:val="12"/>
                <w:color w:val="auto"/>
              </w:rPr>
              <w:t>November 4,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4.17</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40" w:type="dxa"/>
            <w:vAlign w:val="bottom"/>
            <w:gridSpan w:val="2"/>
          </w:tcPr>
          <w:p>
            <w:pPr>
              <w:spacing w:after="0"/>
              <w:rPr>
                <w:sz w:val="20"/>
                <w:szCs w:val="20"/>
                <w:color w:val="auto"/>
              </w:rPr>
            </w:pPr>
            <w:r>
              <w:rPr>
                <w:rFonts w:ascii="Arial" w:cs="Arial" w:eastAsia="Arial" w:hAnsi="Arial"/>
                <w:sz w:val="12"/>
                <w:szCs w:val="12"/>
                <w:color w:val="auto"/>
              </w:rPr>
              <w:t>November 4,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4.18</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S-4</w:t>
            </w:r>
          </w:p>
        </w:tc>
        <w:tc>
          <w:tcPr>
            <w:tcW w:w="2140" w:type="dxa"/>
            <w:vAlign w:val="bottom"/>
            <w:gridSpan w:val="2"/>
          </w:tcPr>
          <w:p>
            <w:pPr>
              <w:spacing w:after="0"/>
              <w:rPr>
                <w:sz w:val="20"/>
                <w:szCs w:val="20"/>
                <w:color w:val="auto"/>
              </w:rPr>
            </w:pPr>
            <w:r>
              <w:rPr>
                <w:rFonts w:ascii="Arial" w:cs="Arial" w:eastAsia="Arial" w:hAnsi="Arial"/>
                <w:sz w:val="12"/>
                <w:szCs w:val="12"/>
                <w:color w:val="auto"/>
              </w:rPr>
              <w:t>April 1, 2015</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4.19</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S-4</w:t>
            </w:r>
          </w:p>
        </w:tc>
        <w:tc>
          <w:tcPr>
            <w:tcW w:w="2140" w:type="dxa"/>
            <w:vAlign w:val="bottom"/>
            <w:gridSpan w:val="2"/>
          </w:tcPr>
          <w:p>
            <w:pPr>
              <w:spacing w:after="0"/>
              <w:rPr>
                <w:sz w:val="20"/>
                <w:szCs w:val="20"/>
                <w:color w:val="auto"/>
              </w:rPr>
            </w:pPr>
            <w:r>
              <w:rPr>
                <w:rFonts w:ascii="Arial" w:cs="Arial" w:eastAsia="Arial" w:hAnsi="Arial"/>
                <w:sz w:val="12"/>
                <w:szCs w:val="12"/>
                <w:color w:val="auto"/>
              </w:rPr>
              <w:t>April 1, 2015</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4.20</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2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40" w:type="dxa"/>
            <w:vAlign w:val="bottom"/>
            <w:gridSpan w:val="2"/>
          </w:tcPr>
          <w:p>
            <w:pPr>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240" w:space="40"/>
            <w:col w:w="5020"/>
          </w:cols>
          <w:pgMar w:left="300" w:top="268" w:right="299" w:bottom="1440" w:gutter="0" w:footer="0" w:header="0"/>
        </w:sectPr>
      </w:pPr>
    </w:p>
    <w:bookmarkStart w:id="93" w:name="page94"/>
    <w:bookmarkEnd w:id="93"/>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Exhibit</w:t>
            </w:r>
          </w:p>
        </w:tc>
        <w:tc>
          <w:tcPr>
            <w:tcW w:w="2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13"/>
        </w:trPr>
        <w:tc>
          <w:tcPr>
            <w:tcW w:w="88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Number</w:t>
            </w:r>
          </w:p>
        </w:tc>
        <w:tc>
          <w:tcPr>
            <w:tcW w:w="240" w:type="dxa"/>
            <w:vAlign w:val="bottom"/>
          </w:tcPr>
          <w:p>
            <w:pPr>
              <w:spacing w:after="0"/>
              <w:rPr>
                <w:sz w:val="9"/>
                <w:szCs w:val="9"/>
                <w:color w:val="auto"/>
              </w:rPr>
            </w:pPr>
          </w:p>
        </w:tc>
        <w:tc>
          <w:tcPr>
            <w:tcW w:w="5200" w:type="dxa"/>
            <w:vAlign w:val="bottom"/>
            <w:gridSpan w:val="2"/>
          </w:tcPr>
          <w:p>
            <w:pPr>
              <w:ind w:left="2000"/>
              <w:spacing w:after="0" w:line="114" w:lineRule="exact"/>
              <w:rPr>
                <w:sz w:val="20"/>
                <w:szCs w:val="20"/>
                <w:color w:val="auto"/>
              </w:rPr>
            </w:pPr>
            <w:r>
              <w:rPr>
                <w:rFonts w:ascii="Arial" w:cs="Arial" w:eastAsia="Arial" w:hAnsi="Arial"/>
                <w:sz w:val="10"/>
                <w:szCs w:val="10"/>
                <w:b w:val="1"/>
                <w:bCs w:val="1"/>
                <w:color w:val="auto"/>
              </w:rPr>
              <w:t>Description of Document</w:t>
            </w:r>
          </w:p>
        </w:tc>
      </w:tr>
      <w:tr>
        <w:trPr>
          <w:trHeight w:val="268"/>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5"/>
              </w:rPr>
              <w:t>4.22</w:t>
            </w:r>
          </w:p>
        </w:tc>
        <w:tc>
          <w:tcPr>
            <w:tcW w:w="40" w:type="dxa"/>
            <w:vAlign w:val="bottom"/>
          </w:tcPr>
          <w:p>
            <w:pPr>
              <w:spacing w:after="0"/>
              <w:rPr>
                <w:sz w:val="23"/>
                <w:szCs w:val="23"/>
                <w:color w:val="auto"/>
              </w:rPr>
            </w:pPr>
          </w:p>
        </w:tc>
        <w:tc>
          <w:tcPr>
            <w:tcW w:w="5440" w:type="dxa"/>
            <w:vAlign w:val="bottom"/>
            <w:tcBorders>
              <w:top w:val="single" w:sz="8" w:color="auto"/>
            </w:tcBorders>
            <w:gridSpan w:val="3"/>
          </w:tcPr>
          <w:p>
            <w:pPr>
              <w:spacing w:after="0"/>
              <w:rPr>
                <w:rFonts w:ascii="Arial" w:cs="Arial" w:eastAsia="Arial" w:hAnsi="Arial"/>
                <w:sz w:val="12"/>
                <w:szCs w:val="12"/>
                <w:u w:val="single" w:color="auto"/>
                <w:color w:val="0000EE"/>
              </w:rPr>
            </w:pPr>
            <w:hyperlink r:id="rId146">
              <w:r>
                <w:rPr>
                  <w:rFonts w:ascii="Arial" w:cs="Arial" w:eastAsia="Arial" w:hAnsi="Arial"/>
                  <w:sz w:val="12"/>
                  <w:szCs w:val="12"/>
                  <w:u w:val="single" w:color="auto"/>
                  <w:color w:val="0000EE"/>
                </w:rPr>
                <w:t>Form of Placement Agent Warrant.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4.23</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color w:val="0000EE"/>
              </w:rPr>
            </w:pPr>
            <w:hyperlink r:id="rId147">
              <w:r>
                <w:rPr>
                  <w:rFonts w:ascii="Arial" w:cs="Arial" w:eastAsia="Arial" w:hAnsi="Arial"/>
                  <w:sz w:val="12"/>
                  <w:szCs w:val="12"/>
                  <w:u w:val="single" w:color="auto"/>
                  <w:color w:val="0000EE"/>
                </w:rPr>
                <w:t>Form of Series D common stock Warrant Certificate</w:t>
              </w:r>
              <w:r>
                <w:rPr>
                  <w:rFonts w:ascii="Arial" w:cs="Arial" w:eastAsia="Arial" w:hAnsi="Arial"/>
                  <w:sz w:val="12"/>
                  <w:szCs w:val="12"/>
                  <w:color w:val="0000EE"/>
                </w:rPr>
                <w: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4.24</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48">
              <w:r>
                <w:rPr>
                  <w:rFonts w:ascii="Arial" w:cs="Arial" w:eastAsia="Arial" w:hAnsi="Arial"/>
                  <w:sz w:val="12"/>
                  <w:szCs w:val="12"/>
                  <w:u w:val="single" w:color="auto"/>
                  <w:color w:val="0000EE"/>
                </w:rPr>
                <w:t>Form of Series A Convertible Preferred Stock Certificate.</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4.25</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49">
              <w:r>
                <w:rPr>
                  <w:rFonts w:ascii="Arial" w:cs="Arial" w:eastAsia="Arial" w:hAnsi="Arial"/>
                  <w:sz w:val="12"/>
                  <w:szCs w:val="12"/>
                  <w:u w:val="single" w:color="auto"/>
                  <w:color w:val="0000EE"/>
                </w:rPr>
                <w:t>Form of Placement Agent Warrant.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4.26</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0">
              <w:r>
                <w:rPr>
                  <w:rFonts w:ascii="Arial" w:cs="Arial" w:eastAsia="Arial" w:hAnsi="Arial"/>
                  <w:sz w:val="12"/>
                  <w:szCs w:val="12"/>
                  <w:u w:val="single" w:color="auto"/>
                  <w:color w:val="0000EE"/>
                </w:rPr>
                <w:t>Form of Series B Convertible Preferred Stock Certificate.</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4.27</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1">
              <w:r>
                <w:rPr>
                  <w:rFonts w:ascii="Arial" w:cs="Arial" w:eastAsia="Arial" w:hAnsi="Arial"/>
                  <w:sz w:val="12"/>
                  <w:szCs w:val="12"/>
                  <w:u w:val="single" w:color="auto"/>
                  <w:color w:val="0000EE"/>
                </w:rPr>
                <w:t>Form of Common Stock Purchase Warrant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4.28</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1">
              <w:r>
                <w:rPr>
                  <w:rFonts w:ascii="Arial" w:cs="Arial" w:eastAsia="Arial" w:hAnsi="Arial"/>
                  <w:sz w:val="12"/>
                  <w:szCs w:val="12"/>
                  <w:u w:val="single" w:color="auto"/>
                  <w:color w:val="0000EE"/>
                </w:rPr>
                <w:t>Form of Common Stock Purchase Warrant</w:t>
              </w:r>
            </w:hyperlink>
          </w:p>
        </w:tc>
      </w:tr>
      <w:tr>
        <w:trPr>
          <w:trHeight w:val="261"/>
        </w:trPr>
        <w:tc>
          <w:tcPr>
            <w:tcW w:w="840" w:type="dxa"/>
            <w:vAlign w:val="bottom"/>
          </w:tcPr>
          <w:p>
            <w:pPr>
              <w:jc w:val="center"/>
              <w:spacing w:after="0"/>
              <w:rPr>
                <w:sz w:val="20"/>
                <w:szCs w:val="20"/>
                <w:color w:val="auto"/>
              </w:rPr>
            </w:pPr>
            <w:r>
              <w:rPr>
                <w:rFonts w:ascii="Arial" w:cs="Arial" w:eastAsia="Arial" w:hAnsi="Arial"/>
                <w:sz w:val="12"/>
                <w:szCs w:val="12"/>
                <w:color w:val="auto"/>
                <w:w w:val="85"/>
              </w:rPr>
              <w:t>4.29</w:t>
            </w:r>
          </w:p>
        </w:tc>
        <w:tc>
          <w:tcPr>
            <w:tcW w:w="40" w:type="dxa"/>
            <w:vAlign w:val="bottom"/>
          </w:tcPr>
          <w:p>
            <w:pPr>
              <w:spacing w:after="0"/>
              <w:rPr>
                <w:sz w:val="22"/>
                <w:szCs w:val="22"/>
                <w:color w:val="auto"/>
              </w:rPr>
            </w:pPr>
          </w:p>
        </w:tc>
        <w:tc>
          <w:tcPr>
            <w:tcW w:w="5440" w:type="dxa"/>
            <w:vAlign w:val="bottom"/>
            <w:gridSpan w:val="3"/>
          </w:tcPr>
          <w:p>
            <w:pPr>
              <w:spacing w:after="0"/>
              <w:rPr>
                <w:rFonts w:ascii="Arial" w:cs="Arial" w:eastAsia="Arial" w:hAnsi="Arial"/>
                <w:sz w:val="12"/>
                <w:szCs w:val="12"/>
                <w:color w:val="0000EE"/>
                <w:w w:val="93"/>
              </w:rPr>
            </w:pPr>
            <w:hyperlink r:id="rId152">
              <w:r>
                <w:rPr>
                  <w:rFonts w:ascii="Arial" w:cs="Arial" w:eastAsia="Arial" w:hAnsi="Arial"/>
                  <w:sz w:val="12"/>
                  <w:szCs w:val="12"/>
                  <w:color w:val="0000EE"/>
                  <w:w w:val="93"/>
                </w:rPr>
                <w:t>Description of the Registrant’s Securities Registered Pursuant to Section 12 of the Securities Exchange Act of</w:t>
              </w:r>
            </w:hyperlink>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2"/>
              </w:rPr>
            </w:pPr>
            <w:hyperlink r:id="rId152">
              <w:r>
                <w:rPr>
                  <w:rFonts w:ascii="Arial" w:cs="Arial" w:eastAsia="Arial" w:hAnsi="Arial"/>
                  <w:sz w:val="12"/>
                  <w:szCs w:val="12"/>
                  <w:color w:val="0000EE"/>
                  <w:w w:val="82"/>
                </w:rPr>
                <w:t>1934</w:t>
              </w:r>
            </w:hyperlink>
          </w:p>
        </w:tc>
        <w:tc>
          <w:tcPr>
            <w:tcW w:w="5020" w:type="dxa"/>
            <w:vAlign w:val="bottom"/>
            <w:tcBorders>
              <w:top w:val="single" w:sz="8" w:color="0000EE"/>
            </w:tcBorders>
          </w:tcPr>
          <w:p>
            <w:pPr>
              <w:spacing w:after="0"/>
              <w:rPr>
                <w:sz w:val="10"/>
                <w:szCs w:val="10"/>
                <w:color w:val="auto"/>
              </w:rPr>
            </w:pPr>
          </w:p>
        </w:tc>
        <w:tc>
          <w:tcPr>
            <w:tcW w:w="180" w:type="dxa"/>
            <w:vAlign w:val="bottom"/>
          </w:tcPr>
          <w:p>
            <w:pPr>
              <w:spacing w:after="0"/>
              <w:rPr>
                <w:sz w:val="10"/>
                <w:szCs w:val="10"/>
                <w:color w:val="auto"/>
              </w:rPr>
            </w:pPr>
          </w:p>
        </w:tc>
      </w:tr>
      <w:tr>
        <w:trPr>
          <w:trHeight w:val="295"/>
        </w:trPr>
        <w:tc>
          <w:tcPr>
            <w:tcW w:w="840" w:type="dxa"/>
            <w:vAlign w:val="bottom"/>
          </w:tcPr>
          <w:p>
            <w:pPr>
              <w:jc w:val="center"/>
              <w:spacing w:after="0"/>
              <w:rPr>
                <w:sz w:val="20"/>
                <w:szCs w:val="20"/>
                <w:color w:val="auto"/>
              </w:rPr>
            </w:pPr>
            <w:r>
              <w:rPr>
                <w:rFonts w:ascii="Arial" w:cs="Arial" w:eastAsia="Arial" w:hAnsi="Arial"/>
                <w:sz w:val="12"/>
                <w:szCs w:val="12"/>
                <w:color w:val="auto"/>
                <w:w w:val="85"/>
              </w:rPr>
              <w:t>9.10</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3">
              <w:r>
                <w:rPr>
                  <w:rFonts w:ascii="Arial" w:cs="Arial" w:eastAsia="Arial" w:hAnsi="Arial"/>
                  <w:sz w:val="12"/>
                  <w:szCs w:val="12"/>
                  <w:u w:val="single" w:color="auto"/>
                  <w:color w:val="0000EE"/>
                </w:rPr>
                <w:t>Form of Voting Agreement.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9.20</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4">
              <w:r>
                <w:rPr>
                  <w:rFonts w:ascii="Arial" w:cs="Arial" w:eastAsia="Arial" w:hAnsi="Arial"/>
                  <w:sz w:val="12"/>
                  <w:szCs w:val="12"/>
                  <w:u w:val="single" w:color="auto"/>
                  <w:color w:val="0000EE"/>
                </w:rPr>
                <w:t>Form of Voting Agreement.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9.30</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55">
              <w:r>
                <w:rPr>
                  <w:rFonts w:ascii="Arial" w:cs="Arial" w:eastAsia="Arial" w:hAnsi="Arial"/>
                  <w:sz w:val="12"/>
                  <w:szCs w:val="12"/>
                  <w:u w:val="single" w:color="auto"/>
                  <w:color w:val="0000EE"/>
                </w:rPr>
                <w:t>Form of Voting Agreement.</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w w:val="95"/>
              </w:rPr>
            </w:pPr>
            <w:hyperlink r:id="rId156">
              <w:r>
                <w:rPr>
                  <w:rFonts w:ascii="Arial" w:cs="Arial" w:eastAsia="Arial" w:hAnsi="Arial"/>
                  <w:sz w:val="12"/>
                  <w:szCs w:val="12"/>
                  <w:u w:val="single" w:color="auto"/>
                  <w:color w:val="0000EE"/>
                  <w:w w:val="95"/>
                </w:rPr>
                <w:t>Form of Indemnification Agreement between the Registrant and each of its directors and executive officers.</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10.2</w:t>
            </w:r>
          </w:p>
        </w:tc>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2"/>
                <w:szCs w:val="12"/>
                <w:u w:val="single" w:color="auto"/>
                <w:color w:val="0000EE"/>
                <w:w w:val="82"/>
              </w:rPr>
            </w:pPr>
            <w:hyperlink r:id="rId157">
              <w:r>
                <w:rPr>
                  <w:rFonts w:ascii="Arial" w:cs="Arial" w:eastAsia="Arial" w:hAnsi="Arial"/>
                  <w:sz w:val="12"/>
                  <w:szCs w:val="12"/>
                  <w:u w:val="single" w:color="auto"/>
                  <w:color w:val="0000EE"/>
                  <w:w w:val="82"/>
                </w:rPr>
                <w:t>1999</w:t>
              </w:r>
            </w:hyperlink>
          </w:p>
        </w:tc>
        <w:tc>
          <w:tcPr>
            <w:tcW w:w="5200" w:type="dxa"/>
            <w:vAlign w:val="bottom"/>
            <w:gridSpan w:val="2"/>
          </w:tcPr>
          <w:p>
            <w:pPr>
              <w:ind w:left="20"/>
              <w:spacing w:after="0"/>
              <w:rPr>
                <w:rFonts w:ascii="Arial" w:cs="Arial" w:eastAsia="Arial" w:hAnsi="Arial"/>
                <w:sz w:val="12"/>
                <w:szCs w:val="12"/>
                <w:u w:val="single" w:color="auto"/>
                <w:color w:val="0000EE"/>
              </w:rPr>
            </w:pPr>
            <w:hyperlink r:id="rId157">
              <w:r>
                <w:rPr>
                  <w:rFonts w:ascii="Arial" w:cs="Arial" w:eastAsia="Arial" w:hAnsi="Arial"/>
                  <w:sz w:val="12"/>
                  <w:szCs w:val="12"/>
                  <w:u w:val="single" w:color="auto"/>
                  <w:color w:val="0000EE"/>
                </w:rPr>
                <w:t>Incentive Stock Plan and forms of agreements thereunder.</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2"/>
                <w:szCs w:val="12"/>
                <w:u w:val="single" w:color="auto"/>
                <w:color w:val="0000EE"/>
                <w:w w:val="82"/>
              </w:rPr>
            </w:pPr>
            <w:hyperlink r:id="rId158">
              <w:r>
                <w:rPr>
                  <w:rFonts w:ascii="Arial" w:cs="Arial" w:eastAsia="Arial" w:hAnsi="Arial"/>
                  <w:sz w:val="12"/>
                  <w:szCs w:val="12"/>
                  <w:u w:val="single" w:color="auto"/>
                  <w:color w:val="0000EE"/>
                  <w:w w:val="82"/>
                </w:rPr>
                <w:t>2010</w:t>
              </w:r>
            </w:hyperlink>
          </w:p>
        </w:tc>
        <w:tc>
          <w:tcPr>
            <w:tcW w:w="5200" w:type="dxa"/>
            <w:vAlign w:val="bottom"/>
            <w:gridSpan w:val="2"/>
          </w:tcPr>
          <w:p>
            <w:pPr>
              <w:ind w:left="20"/>
              <w:spacing w:after="0"/>
              <w:rPr>
                <w:rFonts w:ascii="Arial" w:cs="Arial" w:eastAsia="Arial" w:hAnsi="Arial"/>
                <w:sz w:val="12"/>
                <w:szCs w:val="12"/>
                <w:u w:val="single" w:color="auto"/>
                <w:color w:val="0000EE"/>
              </w:rPr>
            </w:pPr>
            <w:hyperlink r:id="rId158">
              <w:r>
                <w:rPr>
                  <w:rFonts w:ascii="Arial" w:cs="Arial" w:eastAsia="Arial" w:hAnsi="Arial"/>
                  <w:sz w:val="12"/>
                  <w:szCs w:val="12"/>
                  <w:u w:val="single" w:color="auto"/>
                  <w:color w:val="0000EE"/>
                </w:rPr>
                <w:t>Equity Incentive Plan and forms of agreements thereunder.</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10.4</w:t>
            </w:r>
          </w:p>
        </w:tc>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2"/>
                <w:szCs w:val="12"/>
                <w:u w:val="single" w:color="auto"/>
                <w:color w:val="0000EE"/>
                <w:w w:val="82"/>
              </w:rPr>
            </w:pPr>
            <w:hyperlink r:id="rId159">
              <w:r>
                <w:rPr>
                  <w:rFonts w:ascii="Arial" w:cs="Arial" w:eastAsia="Arial" w:hAnsi="Arial"/>
                  <w:sz w:val="12"/>
                  <w:szCs w:val="12"/>
                  <w:u w:val="single" w:color="auto"/>
                  <w:color w:val="0000EE"/>
                  <w:w w:val="82"/>
                </w:rPr>
                <w:t>2014</w:t>
              </w:r>
            </w:hyperlink>
          </w:p>
        </w:tc>
        <w:tc>
          <w:tcPr>
            <w:tcW w:w="5200" w:type="dxa"/>
            <w:vAlign w:val="bottom"/>
            <w:gridSpan w:val="2"/>
          </w:tcPr>
          <w:p>
            <w:pPr>
              <w:ind w:left="20"/>
              <w:spacing w:after="0"/>
              <w:rPr>
                <w:rFonts w:ascii="Arial" w:cs="Arial" w:eastAsia="Arial" w:hAnsi="Arial"/>
                <w:sz w:val="12"/>
                <w:szCs w:val="12"/>
                <w:u w:val="single" w:color="auto"/>
                <w:color w:val="0000EE"/>
              </w:rPr>
            </w:pPr>
            <w:hyperlink r:id="rId159">
              <w:r>
                <w:rPr>
                  <w:rFonts w:ascii="Arial" w:cs="Arial" w:eastAsia="Arial" w:hAnsi="Arial"/>
                  <w:sz w:val="12"/>
                  <w:szCs w:val="12"/>
                  <w:u w:val="single" w:color="auto"/>
                  <w:color w:val="0000EE"/>
                </w:rPr>
                <w:t>Equity Incentive Plan and forms of agreements thereunder.</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10.5</w:t>
            </w:r>
          </w:p>
        </w:tc>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2"/>
                <w:szCs w:val="12"/>
                <w:u w:val="single" w:color="auto"/>
                <w:color w:val="0000EE"/>
                <w:w w:val="82"/>
              </w:rPr>
            </w:pPr>
            <w:hyperlink r:id="rId160">
              <w:r>
                <w:rPr>
                  <w:rFonts w:ascii="Arial" w:cs="Arial" w:eastAsia="Arial" w:hAnsi="Arial"/>
                  <w:sz w:val="12"/>
                  <w:szCs w:val="12"/>
                  <w:u w:val="single" w:color="auto"/>
                  <w:color w:val="0000EE"/>
                  <w:w w:val="82"/>
                </w:rPr>
                <w:t>2014</w:t>
              </w:r>
            </w:hyperlink>
          </w:p>
        </w:tc>
        <w:tc>
          <w:tcPr>
            <w:tcW w:w="5200" w:type="dxa"/>
            <w:vAlign w:val="bottom"/>
            <w:gridSpan w:val="2"/>
          </w:tcPr>
          <w:p>
            <w:pPr>
              <w:ind w:left="20"/>
              <w:spacing w:after="0"/>
              <w:rPr>
                <w:rFonts w:ascii="Arial" w:cs="Arial" w:eastAsia="Arial" w:hAnsi="Arial"/>
                <w:sz w:val="12"/>
                <w:szCs w:val="12"/>
                <w:u w:val="single" w:color="auto"/>
                <w:color w:val="0000EE"/>
              </w:rPr>
            </w:pPr>
            <w:hyperlink r:id="rId160">
              <w:r>
                <w:rPr>
                  <w:rFonts w:ascii="Arial" w:cs="Arial" w:eastAsia="Arial" w:hAnsi="Arial"/>
                  <w:sz w:val="12"/>
                  <w:szCs w:val="12"/>
                  <w:u w:val="single" w:color="auto"/>
                  <w:color w:val="0000EE"/>
                </w:rPr>
                <w:t>Employee Stock Purchase Plan and forms of agreements thereunder.</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10.6</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rPr>
            </w:pPr>
            <w:hyperlink r:id="rId161">
              <w:r>
                <w:rPr>
                  <w:rFonts w:ascii="Arial" w:cs="Arial" w:eastAsia="Arial" w:hAnsi="Arial"/>
                  <w:sz w:val="12"/>
                  <w:szCs w:val="12"/>
                  <w:u w:val="single" w:color="auto"/>
                  <w:color w:val="0000EE"/>
                </w:rPr>
                <w:t>Offer Letter, dated June 22, 2007, by and between Soleno Therapeutics, Inc. and Ernest Mario, Ph.D.</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10.7</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u w:val="single" w:color="auto"/>
                <w:color w:val="0000EE"/>
                <w:w w:val="92"/>
              </w:rPr>
            </w:pPr>
            <w:hyperlink r:id="rId162">
              <w:r>
                <w:rPr>
                  <w:rFonts w:ascii="Arial" w:cs="Arial" w:eastAsia="Arial" w:hAnsi="Arial"/>
                  <w:sz w:val="12"/>
                  <w:szCs w:val="12"/>
                  <w:u w:val="single" w:color="auto"/>
                  <w:color w:val="0000EE"/>
                  <w:w w:val="92"/>
                </w:rPr>
                <w:t>Employment Agreement, dated April 6, 2010, by and between Soleno Therapeutics, Inc. and Anish Bhatnagar.</w:t>
              </w:r>
            </w:hyperlink>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10.8</w:t>
            </w:r>
          </w:p>
        </w:tc>
        <w:tc>
          <w:tcPr>
            <w:tcW w:w="40" w:type="dxa"/>
            <w:vAlign w:val="bottom"/>
          </w:tcPr>
          <w:p>
            <w:pPr>
              <w:spacing w:after="0"/>
              <w:rPr>
                <w:sz w:val="24"/>
                <w:szCs w:val="24"/>
                <w:color w:val="auto"/>
              </w:rPr>
            </w:pPr>
          </w:p>
        </w:tc>
        <w:tc>
          <w:tcPr>
            <w:tcW w:w="5440" w:type="dxa"/>
            <w:vAlign w:val="bottom"/>
            <w:gridSpan w:val="3"/>
          </w:tcPr>
          <w:p>
            <w:pPr>
              <w:spacing w:after="0"/>
              <w:rPr>
                <w:rFonts w:ascii="Arial" w:cs="Arial" w:eastAsia="Arial" w:hAnsi="Arial"/>
                <w:sz w:val="12"/>
                <w:szCs w:val="12"/>
                <w:color w:val="0000EE"/>
              </w:rPr>
            </w:pPr>
            <w:hyperlink r:id="rId163">
              <w:r>
                <w:rPr>
                  <w:rFonts w:ascii="Arial" w:cs="Arial" w:eastAsia="Arial" w:hAnsi="Arial"/>
                  <w:sz w:val="12"/>
                  <w:szCs w:val="12"/>
                  <w:u w:val="single" w:color="auto"/>
                  <w:color w:val="0000EE"/>
                </w:rPr>
                <w:t>Offer Letter, dated May 29, 2013, between Soleno Therapeutics, Inc. and Anthony Wondka</w:t>
              </w:r>
              <w:r>
                <w:rPr>
                  <w:rFonts w:ascii="Arial" w:cs="Arial" w:eastAsia="Arial" w:hAnsi="Arial"/>
                  <w:sz w:val="12"/>
                  <w:szCs w:val="12"/>
                  <w:color w:val="0000EE"/>
                </w:rPr>
                <w:t>.</w:t>
              </w:r>
            </w:hyperlink>
          </w:p>
        </w:tc>
      </w:tr>
      <w:tr>
        <w:trPr>
          <w:trHeight w:val="432"/>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ind w:left="4460"/>
              <w:spacing w:after="0"/>
              <w:rPr>
                <w:sz w:val="20"/>
                <w:szCs w:val="20"/>
                <w:color w:val="auto"/>
              </w:rPr>
            </w:pPr>
            <w:r>
              <w:rPr>
                <w:rFonts w:ascii="Arial" w:cs="Arial" w:eastAsia="Arial" w:hAnsi="Arial"/>
                <w:sz w:val="12"/>
                <w:szCs w:val="12"/>
                <w:color w:val="auto"/>
              </w:rPr>
              <w:t>92</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8947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20"/>
        <w:spacing w:after="0"/>
        <w:rPr>
          <w:sz w:val="20"/>
          <w:szCs w:val="20"/>
          <w:color w:val="auto"/>
        </w:rPr>
      </w:pPr>
      <w:r>
        <w:rPr>
          <w:rFonts w:ascii="Arial" w:cs="Arial" w:eastAsia="Arial" w:hAnsi="Arial"/>
          <w:sz w:val="10"/>
          <w:szCs w:val="10"/>
          <w:b w:val="1"/>
          <w:bCs w:val="1"/>
          <w:color w:val="auto"/>
        </w:rPr>
        <w:t>Incorporated by Reference from</w:t>
      </w:r>
    </w:p>
    <w:tbl>
      <w:tblPr>
        <w:tblLayout w:type="fixed"/>
        <w:tblInd w:w="0" w:type="dxa"/>
        <w:tblCellMar>
          <w:top w:w="0" w:type="dxa"/>
          <w:left w:w="0" w:type="dxa"/>
          <w:bottom w:w="0" w:type="dxa"/>
          <w:right w:w="0" w:type="dxa"/>
        </w:tblCellMar>
      </w:tblPr>
      <w:tr>
        <w:trPr>
          <w:trHeight w:val="74"/>
        </w:trPr>
        <w:tc>
          <w:tcPr>
            <w:tcW w:w="1180" w:type="dxa"/>
            <w:vAlign w:val="bottom"/>
            <w:tcBorders>
              <w:top w:val="single" w:sz="8" w:color="auto"/>
            </w:tcBorders>
            <w:gridSpan w:val="2"/>
          </w:tcPr>
          <w:p>
            <w:pPr>
              <w:ind w:left="340"/>
              <w:spacing w:after="0" w:line="74" w:lineRule="exact"/>
              <w:rPr>
                <w:sz w:val="20"/>
                <w:szCs w:val="20"/>
                <w:color w:val="auto"/>
              </w:rPr>
            </w:pPr>
            <w:r>
              <w:rPr>
                <w:rFonts w:ascii="Arial" w:cs="Arial" w:eastAsia="Arial" w:hAnsi="Arial"/>
                <w:sz w:val="8"/>
                <w:szCs w:val="8"/>
                <w:b w:val="1"/>
                <w:bCs w:val="1"/>
                <w:color w:val="auto"/>
              </w:rPr>
              <w:t>Registrant’s</w:t>
            </w:r>
          </w:p>
        </w:tc>
        <w:tc>
          <w:tcPr>
            <w:tcW w:w="2160" w:type="dxa"/>
            <w:vAlign w:val="bottom"/>
            <w:tcBorders>
              <w:top w:val="single" w:sz="8" w:color="auto"/>
            </w:tcBorders>
            <w:gridSpan w:val="2"/>
          </w:tcPr>
          <w:p>
            <w:pPr>
              <w:ind w:left="86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Filed</w:t>
            </w:r>
          </w:p>
        </w:tc>
      </w:tr>
      <w:tr>
        <w:trPr>
          <w:trHeight w:val="113"/>
        </w:trPr>
        <w:tc>
          <w:tcPr>
            <w:tcW w:w="1140" w:type="dxa"/>
            <w:vAlign w:val="bottom"/>
            <w:tcBorders>
              <w:bottom w:val="single" w:sz="8" w:color="auto"/>
            </w:tcBorders>
          </w:tcPr>
          <w:p>
            <w:pPr>
              <w:ind w:left="480"/>
              <w:spacing w:after="0" w:line="114" w:lineRule="exact"/>
              <w:rPr>
                <w:sz w:val="20"/>
                <w:szCs w:val="20"/>
                <w:color w:val="auto"/>
              </w:rPr>
            </w:pPr>
            <w:r>
              <w:rPr>
                <w:rFonts w:ascii="Arial" w:cs="Arial" w:eastAsia="Arial" w:hAnsi="Arial"/>
                <w:sz w:val="10"/>
                <w:szCs w:val="10"/>
                <w:b w:val="1"/>
                <w:bCs w:val="1"/>
                <w:color w:val="auto"/>
              </w:rPr>
              <w:t>Form</w:t>
            </w:r>
          </w:p>
        </w:tc>
        <w:tc>
          <w:tcPr>
            <w:tcW w:w="40" w:type="dxa"/>
            <w:vAlign w:val="bottom"/>
          </w:tcPr>
          <w:p>
            <w:pPr>
              <w:spacing w:after="0"/>
              <w:rPr>
                <w:sz w:val="9"/>
                <w:szCs w:val="9"/>
                <w:color w:val="auto"/>
              </w:rPr>
            </w:pPr>
          </w:p>
        </w:tc>
        <w:tc>
          <w:tcPr>
            <w:tcW w:w="2120" w:type="dxa"/>
            <w:vAlign w:val="bottom"/>
            <w:tcBorders>
              <w:bottom w:val="single" w:sz="8" w:color="auto"/>
            </w:tcBorders>
          </w:tcPr>
          <w:p>
            <w:pPr>
              <w:ind w:left="800"/>
              <w:spacing w:after="0" w:line="114" w:lineRule="exact"/>
              <w:rPr>
                <w:sz w:val="20"/>
                <w:szCs w:val="20"/>
                <w:color w:val="auto"/>
              </w:rPr>
            </w:pPr>
            <w:r>
              <w:rPr>
                <w:rFonts w:ascii="Arial" w:cs="Arial" w:eastAsia="Arial" w:hAnsi="Arial"/>
                <w:sz w:val="10"/>
                <w:szCs w:val="10"/>
                <w:b w:val="1"/>
                <w:bCs w:val="1"/>
                <w:color w:val="auto"/>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r>
      <w:tr>
        <w:trPr>
          <w:trHeight w:val="26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July 6, 2016</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July 6, 2016</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December 13, 2017</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December 19, 2018</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10-K</w:t>
            </w:r>
          </w:p>
        </w:tc>
        <w:tc>
          <w:tcPr>
            <w:tcW w:w="2160" w:type="dxa"/>
            <w:vAlign w:val="bottom"/>
            <w:gridSpan w:val="2"/>
          </w:tcPr>
          <w:p>
            <w:pPr>
              <w:spacing w:after="0"/>
              <w:rPr>
                <w:sz w:val="20"/>
                <w:szCs w:val="20"/>
                <w:color w:val="auto"/>
              </w:rPr>
            </w:pPr>
            <w:r>
              <w:rPr>
                <w:rFonts w:ascii="Arial" w:cs="Arial" w:eastAsia="Arial" w:hAnsi="Arial"/>
                <w:sz w:val="12"/>
                <w:szCs w:val="12"/>
                <w:color w:val="auto"/>
              </w:rPr>
              <w:t>March 4, 2020</w:t>
            </w: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4.29</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October 15, 2015</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9.1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July 6, 2016</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9.1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8-K</w:t>
            </w:r>
          </w:p>
        </w:tc>
        <w:tc>
          <w:tcPr>
            <w:tcW w:w="2160" w:type="dxa"/>
            <w:vAlign w:val="bottom"/>
            <w:gridSpan w:val="2"/>
          </w:tcPr>
          <w:p>
            <w:pPr>
              <w:spacing w:after="0"/>
              <w:rPr>
                <w:sz w:val="20"/>
                <w:szCs w:val="20"/>
                <w:color w:val="auto"/>
              </w:rPr>
            </w:pPr>
            <w:r>
              <w:rPr>
                <w:rFonts w:ascii="Arial" w:cs="Arial" w:eastAsia="Arial" w:hAnsi="Arial"/>
                <w:sz w:val="12"/>
                <w:szCs w:val="12"/>
                <w:color w:val="auto"/>
              </w:rPr>
              <w:t>December 27, 2016</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10.2</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spacing w:after="0"/>
              <w:rPr>
                <w:sz w:val="20"/>
                <w:szCs w:val="20"/>
                <w:color w:val="auto"/>
              </w:rPr>
            </w:pPr>
            <w:r>
              <w:rPr>
                <w:rFonts w:ascii="Arial" w:cs="Arial" w:eastAsia="Arial" w:hAnsi="Arial"/>
                <w:sz w:val="12"/>
                <w:szCs w:val="12"/>
                <w:color w:val="auto"/>
              </w:rPr>
              <w:t>July 1,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S-1/A</w:t>
            </w:r>
          </w:p>
        </w:tc>
        <w:tc>
          <w:tcPr>
            <w:tcW w:w="2160" w:type="dxa"/>
            <w:vAlign w:val="bottom"/>
            <w:gridSpan w:val="2"/>
          </w:tcPr>
          <w:p>
            <w:pPr>
              <w:spacing w:after="0"/>
              <w:rPr>
                <w:sz w:val="20"/>
                <w:szCs w:val="20"/>
                <w:color w:val="auto"/>
              </w:rPr>
            </w:pPr>
            <w:r>
              <w:rPr>
                <w:rFonts w:ascii="Arial" w:cs="Arial" w:eastAsia="Arial" w:hAnsi="Arial"/>
                <w:sz w:val="12"/>
                <w:szCs w:val="12"/>
                <w:color w:val="auto"/>
              </w:rPr>
              <w:t>July 1,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10.5</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10.7</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1180" w:type="dxa"/>
            <w:vAlign w:val="bottom"/>
            <w:gridSpan w:val="2"/>
          </w:tcPr>
          <w:p>
            <w:pPr>
              <w:ind w:left="40"/>
              <w:spacing w:after="0"/>
              <w:rPr>
                <w:sz w:val="20"/>
                <w:szCs w:val="20"/>
                <w:color w:val="auto"/>
              </w:rPr>
            </w:pPr>
            <w:r>
              <w:rPr>
                <w:rFonts w:ascii="Arial" w:cs="Arial" w:eastAsia="Arial" w:hAnsi="Arial"/>
                <w:sz w:val="12"/>
                <w:szCs w:val="12"/>
                <w:color w:val="auto"/>
              </w:rPr>
              <w:t>S-1</w:t>
            </w:r>
          </w:p>
        </w:tc>
        <w:tc>
          <w:tcPr>
            <w:tcW w:w="2160" w:type="dxa"/>
            <w:vAlign w:val="bottom"/>
            <w:gridSpan w:val="2"/>
          </w:tcPr>
          <w:p>
            <w:pPr>
              <w:spacing w:after="0"/>
              <w:rPr>
                <w:sz w:val="20"/>
                <w:szCs w:val="20"/>
                <w:color w:val="auto"/>
              </w:rPr>
            </w:pPr>
            <w:r>
              <w:rPr>
                <w:rFonts w:ascii="Arial" w:cs="Arial" w:eastAsia="Arial" w:hAnsi="Arial"/>
                <w:sz w:val="12"/>
                <w:szCs w:val="12"/>
                <w:color w:val="auto"/>
              </w:rPr>
              <w:t>June 10, 2014</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10.8</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320" w:space="40"/>
            <w:col w:w="4940"/>
          </w:cols>
          <w:pgMar w:left="300" w:top="268" w:right="299" w:bottom="1440" w:gutter="0" w:footer="0" w:header="0"/>
        </w:sectPr>
      </w:pPr>
    </w:p>
    <w:bookmarkStart w:id="94" w:name="page95"/>
    <w:bookmarkEnd w:id="94"/>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9"/>
              </w:rPr>
              <w:t>Exhibit</w:t>
            </w: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6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Number</w:t>
            </w: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80" w:type="dxa"/>
            <w:vAlign w:val="bottom"/>
            <w:gridSpan w:val="14"/>
          </w:tcPr>
          <w:p>
            <w:pPr>
              <w:ind w:left="420"/>
              <w:spacing w:after="0" w:line="114" w:lineRule="exact"/>
              <w:rPr>
                <w:sz w:val="20"/>
                <w:szCs w:val="20"/>
                <w:color w:val="auto"/>
              </w:rPr>
            </w:pPr>
            <w:r>
              <w:rPr>
                <w:rFonts w:ascii="Arial" w:cs="Arial" w:eastAsia="Arial" w:hAnsi="Arial"/>
                <w:sz w:val="10"/>
                <w:szCs w:val="10"/>
                <w:b w:val="1"/>
                <w:bCs w:val="1"/>
                <w:color w:val="auto"/>
              </w:rPr>
              <w:t>Description of Document</w:t>
            </w:r>
          </w:p>
        </w:tc>
      </w:tr>
      <w:tr>
        <w:trPr>
          <w:trHeight w:val="142"/>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3"/>
              </w:rPr>
              <w:t>10.9</w:t>
            </w:r>
          </w:p>
        </w:tc>
        <w:tc>
          <w:tcPr>
            <w:tcW w:w="40" w:type="dxa"/>
            <w:vAlign w:val="bottom"/>
          </w:tcPr>
          <w:p>
            <w:pPr>
              <w:spacing w:after="0"/>
              <w:rPr>
                <w:sz w:val="12"/>
                <w:szCs w:val="12"/>
                <w:color w:val="auto"/>
              </w:rPr>
            </w:pPr>
          </w:p>
        </w:tc>
        <w:tc>
          <w:tcPr>
            <w:tcW w:w="5360" w:type="dxa"/>
            <w:vAlign w:val="bottom"/>
            <w:tcBorders>
              <w:top w:val="single" w:sz="8" w:color="auto"/>
            </w:tcBorders>
            <w:gridSpan w:val="17"/>
          </w:tcPr>
          <w:p>
            <w:pPr>
              <w:spacing w:after="0"/>
              <w:rPr>
                <w:rFonts w:ascii="Arial" w:cs="Arial" w:eastAsia="Arial" w:hAnsi="Arial"/>
                <w:sz w:val="12"/>
                <w:szCs w:val="12"/>
                <w:u w:val="single" w:color="auto"/>
                <w:color w:val="0000EE"/>
              </w:rPr>
            </w:pPr>
            <w:hyperlink r:id="rId165">
              <w:r>
                <w:rPr>
                  <w:rFonts w:ascii="Arial" w:cs="Arial" w:eastAsia="Arial" w:hAnsi="Arial"/>
                  <w:sz w:val="12"/>
                  <w:szCs w:val="12"/>
                  <w:u w:val="single" w:color="auto"/>
                  <w:color w:val="0000EE"/>
                </w:rPr>
                <w:t>Offer Letter, dated April 17, 2014, by and between Soleno Therapeutics, Inc. and Antoun Nabhan.</w:t>
              </w:r>
            </w:hyperlink>
          </w:p>
        </w:tc>
      </w:tr>
      <w:tr>
        <w:trPr>
          <w:trHeight w:val="252"/>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10.10</w:t>
            </w:r>
          </w:p>
        </w:tc>
        <w:tc>
          <w:tcPr>
            <w:tcW w:w="40" w:type="dxa"/>
            <w:vAlign w:val="bottom"/>
          </w:tcPr>
          <w:p>
            <w:pPr>
              <w:spacing w:after="0"/>
              <w:rPr>
                <w:sz w:val="21"/>
                <w:szCs w:val="21"/>
                <w:color w:val="auto"/>
              </w:rPr>
            </w:pPr>
          </w:p>
        </w:tc>
        <w:tc>
          <w:tcPr>
            <w:tcW w:w="5160" w:type="dxa"/>
            <w:vAlign w:val="bottom"/>
            <w:tcBorders>
              <w:bottom w:val="single" w:sz="8" w:color="0000EE"/>
            </w:tcBorders>
            <w:gridSpan w:val="13"/>
          </w:tcPr>
          <w:p>
            <w:pPr>
              <w:spacing w:after="0"/>
              <w:rPr>
                <w:rFonts w:ascii="Arial" w:cs="Arial" w:eastAsia="Arial" w:hAnsi="Arial"/>
                <w:sz w:val="12"/>
                <w:szCs w:val="12"/>
                <w:color w:val="0000EE"/>
                <w:w w:val="89"/>
              </w:rPr>
            </w:pPr>
            <w:hyperlink r:id="rId166">
              <w:r>
                <w:rPr>
                  <w:rFonts w:ascii="Arial" w:cs="Arial" w:eastAsia="Arial" w:hAnsi="Arial"/>
                  <w:sz w:val="12"/>
                  <w:szCs w:val="12"/>
                  <w:color w:val="0000EE"/>
                  <w:w w:val="89"/>
                </w:rPr>
                <w:t>Asset Purchase Agreement dated May 11, 2010, by and between Soleno Therapeutics, Inc. and BioMedical</w:t>
              </w:r>
            </w:hyperlink>
          </w:p>
        </w:tc>
        <w:tc>
          <w:tcPr>
            <w:tcW w:w="200" w:type="dxa"/>
            <w:vAlign w:val="bottom"/>
            <w:gridSpan w:val="4"/>
          </w:tcPr>
          <w:p>
            <w:pPr>
              <w:spacing w:after="0"/>
              <w:rPr>
                <w:sz w:val="21"/>
                <w:szCs w:val="21"/>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60" w:type="dxa"/>
            <w:vAlign w:val="bottom"/>
            <w:gridSpan w:val="17"/>
          </w:tcPr>
          <w:p>
            <w:pPr>
              <w:spacing w:after="0" w:line="124" w:lineRule="exact"/>
              <w:rPr>
                <w:rFonts w:ascii="Arial" w:cs="Arial" w:eastAsia="Arial" w:hAnsi="Arial"/>
                <w:sz w:val="12"/>
                <w:szCs w:val="12"/>
                <w:color w:val="0000EE"/>
              </w:rPr>
            </w:pPr>
            <w:hyperlink r:id="rId166">
              <w:r>
                <w:rPr>
                  <w:rFonts w:ascii="Arial" w:cs="Arial" w:eastAsia="Arial" w:hAnsi="Arial"/>
                  <w:sz w:val="12"/>
                  <w:szCs w:val="12"/>
                  <w:color w:val="0000EE"/>
                </w:rPr>
                <w:t>Drug Development Inc.</w:t>
              </w:r>
            </w:hyperlink>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10.11</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9"/>
              </w:rPr>
            </w:pPr>
            <w:hyperlink r:id="rId167">
              <w:r>
                <w:rPr>
                  <w:rFonts w:ascii="Arial" w:cs="Arial" w:eastAsia="Arial" w:hAnsi="Arial"/>
                  <w:sz w:val="12"/>
                  <w:szCs w:val="12"/>
                  <w:color w:val="0000EE"/>
                  <w:w w:val="99"/>
                </w:rPr>
                <w:t>Convertible Note and Warrant Purchase Agreement, dated February 10, 2010, by and among Soleno</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6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9"/>
              </w:rPr>
            </w:pPr>
            <w:hyperlink r:id="rId167">
              <w:r>
                <w:rPr>
                  <w:rFonts w:ascii="Arial" w:cs="Arial" w:eastAsia="Arial" w:hAnsi="Arial"/>
                  <w:sz w:val="12"/>
                  <w:szCs w:val="12"/>
                  <w:color w:val="0000EE"/>
                  <w:w w:val="89"/>
                </w:rPr>
                <w:t>Therapeutics, Inc. and the investors named therein.</w:t>
              </w:r>
            </w:hyperlink>
          </w:p>
        </w:tc>
        <w:tc>
          <w:tcPr>
            <w:tcW w:w="2380" w:type="dxa"/>
            <w:vAlign w:val="bottom"/>
            <w:tcBorders>
              <w:top w:val="single" w:sz="8" w:color="0000EE"/>
            </w:tcBorders>
            <w:gridSpan w:val="3"/>
          </w:tcPr>
          <w:p>
            <w:pPr>
              <w:spacing w:after="0"/>
              <w:rPr>
                <w:sz w:val="10"/>
                <w:szCs w:val="10"/>
                <w:color w:val="auto"/>
              </w:rPr>
            </w:pPr>
          </w:p>
        </w:tc>
        <w:tc>
          <w:tcPr>
            <w:tcW w:w="520" w:type="dxa"/>
            <w:vAlign w:val="bottom"/>
            <w:gridSpan w:val="10"/>
          </w:tcPr>
          <w:p>
            <w:pPr>
              <w:spacing w:after="0"/>
              <w:rPr>
                <w:sz w:val="10"/>
                <w:szCs w:val="10"/>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10.12</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2"/>
              </w:rPr>
            </w:pPr>
            <w:hyperlink r:id="rId168">
              <w:r>
                <w:rPr>
                  <w:rFonts w:ascii="Arial" w:cs="Arial" w:eastAsia="Arial" w:hAnsi="Arial"/>
                  <w:sz w:val="12"/>
                  <w:szCs w:val="12"/>
                  <w:color w:val="0000EE"/>
                  <w:w w:val="92"/>
                </w:rPr>
                <w:t>Amendment No. 1 to Convertible Note and Warrant Purchase Agreement, Convertible Promissory Notes and</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60" w:type="dxa"/>
            <w:vAlign w:val="bottom"/>
            <w:tcBorders>
              <w:top w:val="single" w:sz="8" w:color="0000EE"/>
              <w:bottom w:val="single" w:sz="8" w:color="0000EE"/>
            </w:tcBorders>
            <w:gridSpan w:val="11"/>
          </w:tcPr>
          <w:p>
            <w:pPr>
              <w:spacing w:after="0" w:line="124" w:lineRule="exact"/>
              <w:rPr>
                <w:rFonts w:ascii="Arial" w:cs="Arial" w:eastAsia="Arial" w:hAnsi="Arial"/>
                <w:sz w:val="12"/>
                <w:szCs w:val="12"/>
                <w:color w:val="0000EE"/>
                <w:w w:val="88"/>
              </w:rPr>
            </w:pPr>
            <w:hyperlink r:id="rId168">
              <w:r>
                <w:rPr>
                  <w:rFonts w:ascii="Arial" w:cs="Arial" w:eastAsia="Arial" w:hAnsi="Arial"/>
                  <w:sz w:val="12"/>
                  <w:szCs w:val="12"/>
                  <w:color w:val="0000EE"/>
                  <w:w w:val="88"/>
                </w:rPr>
                <w:t>Warrants to Purchase Shares, dated November 10, 2010, by and among Soleno Therapeutics, Inc. and the</w:t>
              </w:r>
            </w:hyperlink>
          </w:p>
        </w:tc>
        <w:tc>
          <w:tcPr>
            <w:tcW w:w="200" w:type="dxa"/>
            <w:vAlign w:val="bottom"/>
            <w:tcBorders>
              <w:top w:val="single" w:sz="8" w:color="0000EE"/>
            </w:tcBorders>
            <w:gridSpan w:val="4"/>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60" w:type="dxa"/>
            <w:vAlign w:val="bottom"/>
            <w:gridSpan w:val="17"/>
          </w:tcPr>
          <w:p>
            <w:pPr>
              <w:spacing w:after="0" w:line="124" w:lineRule="exact"/>
              <w:rPr>
                <w:rFonts w:ascii="Arial" w:cs="Arial" w:eastAsia="Arial" w:hAnsi="Arial"/>
                <w:sz w:val="12"/>
                <w:szCs w:val="12"/>
                <w:color w:val="0000EE"/>
              </w:rPr>
            </w:pPr>
            <w:hyperlink r:id="rId168">
              <w:r>
                <w:rPr>
                  <w:rFonts w:ascii="Arial" w:cs="Arial" w:eastAsia="Arial" w:hAnsi="Arial"/>
                  <w:sz w:val="12"/>
                  <w:szCs w:val="12"/>
                  <w:color w:val="0000EE"/>
                </w:rPr>
                <w:t>investors named therein.</w:t>
              </w:r>
            </w:hyperlink>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10.13</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2"/>
              </w:rPr>
            </w:pPr>
            <w:hyperlink r:id="rId169">
              <w:r>
                <w:rPr>
                  <w:rFonts w:ascii="Arial" w:cs="Arial" w:eastAsia="Arial" w:hAnsi="Arial"/>
                  <w:sz w:val="12"/>
                  <w:szCs w:val="12"/>
                  <w:color w:val="0000EE"/>
                  <w:w w:val="92"/>
                </w:rPr>
                <w:t>Amendment No. 2 to Convertible Note and Warrant Purchase Agreement, Convertible Promissory Notes and</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92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88"/>
              </w:rPr>
            </w:pPr>
            <w:hyperlink r:id="rId169">
              <w:r>
                <w:rPr>
                  <w:rFonts w:ascii="Arial" w:cs="Arial" w:eastAsia="Arial" w:hAnsi="Arial"/>
                  <w:sz w:val="12"/>
                  <w:szCs w:val="12"/>
                  <w:color w:val="0000EE"/>
                  <w:w w:val="88"/>
                </w:rPr>
                <w:t>Warrants to Purchase Shares, dated January 17, 2012, by and among Soleno Therapeutics, Inc. and the</w:t>
              </w:r>
            </w:hyperlink>
          </w:p>
        </w:tc>
        <w:tc>
          <w:tcPr>
            <w:tcW w:w="340" w:type="dxa"/>
            <w:vAlign w:val="bottom"/>
            <w:tcBorders>
              <w:top w:val="single" w:sz="8" w:color="0000EE"/>
            </w:tcBorders>
            <w:gridSpan w:val="6"/>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360" w:type="dxa"/>
            <w:vAlign w:val="bottom"/>
            <w:gridSpan w:val="17"/>
          </w:tcPr>
          <w:p>
            <w:pPr>
              <w:spacing w:after="0" w:line="124" w:lineRule="exact"/>
              <w:rPr>
                <w:rFonts w:ascii="Arial" w:cs="Arial" w:eastAsia="Arial" w:hAnsi="Arial"/>
                <w:sz w:val="12"/>
                <w:szCs w:val="12"/>
                <w:color w:val="0000EE"/>
              </w:rPr>
            </w:pPr>
            <w:hyperlink r:id="rId169">
              <w:r>
                <w:rPr>
                  <w:rFonts w:ascii="Arial" w:cs="Arial" w:eastAsia="Arial" w:hAnsi="Arial"/>
                  <w:sz w:val="12"/>
                  <w:szCs w:val="12"/>
                  <w:color w:val="0000EE"/>
                </w:rPr>
                <w:t>investors named therein.</w:t>
              </w:r>
            </w:hyperlink>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10.14</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rPr>
            </w:pPr>
            <w:hyperlink r:id="rId170">
              <w:r>
                <w:rPr>
                  <w:rFonts w:ascii="Arial" w:cs="Arial" w:eastAsia="Arial" w:hAnsi="Arial"/>
                  <w:sz w:val="12"/>
                  <w:szCs w:val="12"/>
                  <w:color w:val="0000EE"/>
                </w:rPr>
                <w:t>Convertible Note and Warrant Purchase Agreement, dated January 16, 2012, by and among Soleno</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6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9"/>
              </w:rPr>
            </w:pPr>
            <w:hyperlink r:id="rId170">
              <w:r>
                <w:rPr>
                  <w:rFonts w:ascii="Arial" w:cs="Arial" w:eastAsia="Arial" w:hAnsi="Arial"/>
                  <w:sz w:val="12"/>
                  <w:szCs w:val="12"/>
                  <w:color w:val="0000EE"/>
                  <w:w w:val="89"/>
                </w:rPr>
                <w:t>Therapeutics, Inc. and the investors named therein.</w:t>
              </w:r>
            </w:hyperlink>
          </w:p>
        </w:tc>
        <w:tc>
          <w:tcPr>
            <w:tcW w:w="2320" w:type="dxa"/>
            <w:vAlign w:val="bottom"/>
            <w:tcBorders>
              <w:top w:val="single" w:sz="8" w:color="0000EE"/>
            </w:tcBorders>
            <w:gridSpan w:val="2"/>
          </w:tcPr>
          <w:p>
            <w:pPr>
              <w:spacing w:after="0"/>
              <w:rPr>
                <w:sz w:val="10"/>
                <w:szCs w:val="10"/>
                <w:color w:val="auto"/>
              </w:rPr>
            </w:pPr>
          </w:p>
        </w:tc>
        <w:tc>
          <w:tcPr>
            <w:tcW w:w="580" w:type="dxa"/>
            <w:vAlign w:val="bottom"/>
            <w:gridSpan w:val="11"/>
          </w:tcPr>
          <w:p>
            <w:pPr>
              <w:spacing w:after="0"/>
              <w:rPr>
                <w:sz w:val="10"/>
                <w:szCs w:val="10"/>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10.15</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3"/>
              </w:rPr>
            </w:pPr>
            <w:hyperlink r:id="rId171">
              <w:r>
                <w:rPr>
                  <w:rFonts w:ascii="Arial" w:cs="Arial" w:eastAsia="Arial" w:hAnsi="Arial"/>
                  <w:sz w:val="12"/>
                  <w:szCs w:val="12"/>
                  <w:color w:val="0000EE"/>
                  <w:w w:val="93"/>
                </w:rPr>
                <w:t>Omnibus Amendment to Convertible Note and Warrant Purchase Agreement, Convertible Promissory Notes</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0" w:type="dxa"/>
            <w:vAlign w:val="bottom"/>
            <w:tcBorders>
              <w:top w:val="single" w:sz="8" w:color="0000EE"/>
            </w:tcBorders>
            <w:gridSpan w:val="14"/>
          </w:tcPr>
          <w:p>
            <w:pPr>
              <w:spacing w:after="0" w:line="124" w:lineRule="exact"/>
              <w:rPr>
                <w:rFonts w:ascii="Arial" w:cs="Arial" w:eastAsia="Arial" w:hAnsi="Arial"/>
                <w:sz w:val="12"/>
                <w:szCs w:val="12"/>
                <w:color w:val="0000EE"/>
                <w:w w:val="92"/>
              </w:rPr>
            </w:pPr>
            <w:hyperlink r:id="rId171">
              <w:r>
                <w:rPr>
                  <w:rFonts w:ascii="Arial" w:cs="Arial" w:eastAsia="Arial" w:hAnsi="Arial"/>
                  <w:sz w:val="12"/>
                  <w:szCs w:val="12"/>
                  <w:color w:val="0000EE"/>
                  <w:w w:val="92"/>
                </w:rPr>
                <w:t>and Warrants to Purchase Shares, dated July 31, 2012, by and among Soleno Therapeutics, Inc. and the</w:t>
              </w:r>
            </w:hyperlink>
          </w:p>
        </w:tc>
        <w:tc>
          <w:tcPr>
            <w:tcW w:w="160" w:type="dxa"/>
            <w:vAlign w:val="bottom"/>
            <w:gridSpan w:val="3"/>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94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r:id="rId171">
              <w:r>
                <w:rPr>
                  <w:rFonts w:ascii="Arial" w:cs="Arial" w:eastAsia="Arial" w:hAnsi="Arial"/>
                  <w:sz w:val="12"/>
                  <w:szCs w:val="12"/>
                  <w:color w:val="0000EE"/>
                </w:rPr>
                <w:t>investors named therein.</w:t>
              </w:r>
            </w:hyperlink>
          </w:p>
        </w:tc>
        <w:tc>
          <w:tcPr>
            <w:tcW w:w="420" w:type="dxa"/>
            <w:vAlign w:val="bottom"/>
            <w:gridSpan w:val="7"/>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10.16</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5"/>
              </w:rPr>
            </w:pPr>
            <w:hyperlink r:id="rId172">
              <w:r>
                <w:rPr>
                  <w:rFonts w:ascii="Arial" w:cs="Arial" w:eastAsia="Arial" w:hAnsi="Arial"/>
                  <w:sz w:val="12"/>
                  <w:szCs w:val="12"/>
                  <w:color w:val="0000EE"/>
                  <w:w w:val="95"/>
                </w:rPr>
                <w:t>Omnibus Amendment to Convertible Promissory Notes and Warrants to Purchase Shares, dated April 28,</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8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r:id="rId172">
              <w:r>
                <w:rPr>
                  <w:rFonts w:ascii="Arial" w:cs="Arial" w:eastAsia="Arial" w:hAnsi="Arial"/>
                  <w:sz w:val="12"/>
                  <w:szCs w:val="12"/>
                  <w:color w:val="0000EE"/>
                </w:rPr>
                <w:t>2014, by and among Soleno Therapeutics, Inc. and the investors named therein.</w:t>
              </w:r>
            </w:hyperlink>
          </w:p>
        </w:tc>
        <w:tc>
          <w:tcPr>
            <w:tcW w:w="280" w:type="dxa"/>
            <w:vAlign w:val="bottom"/>
            <w:gridSpan w:val="5"/>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10.17</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0"/>
              </w:rPr>
            </w:pPr>
            <w:hyperlink r:id="rId173">
              <w:r>
                <w:rPr>
                  <w:rFonts w:ascii="Arial" w:cs="Arial" w:eastAsia="Arial" w:hAnsi="Arial"/>
                  <w:sz w:val="12"/>
                  <w:szCs w:val="12"/>
                  <w:color w:val="0000EE"/>
                  <w:w w:val="90"/>
                </w:rPr>
                <w:t>Convertible Note and Warrant Purchase Agreement, dated April 28, 2014, by and among Soleno Therapeutics,</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9"/>
              </w:rPr>
            </w:pPr>
            <w:hyperlink r:id="rId173">
              <w:r>
                <w:rPr>
                  <w:rFonts w:ascii="Arial" w:cs="Arial" w:eastAsia="Arial" w:hAnsi="Arial"/>
                  <w:sz w:val="12"/>
                  <w:szCs w:val="12"/>
                  <w:color w:val="0000EE"/>
                  <w:w w:val="89"/>
                </w:rPr>
                <w:t>Inc. and the investors named therein.</w:t>
              </w:r>
            </w:hyperlink>
          </w:p>
        </w:tc>
        <w:tc>
          <w:tcPr>
            <w:tcW w:w="3560" w:type="dxa"/>
            <w:vAlign w:val="bottom"/>
            <w:tcBorders>
              <w:top w:val="single" w:sz="8" w:color="0000EE"/>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26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10.18</w:t>
            </w:r>
          </w:p>
        </w:tc>
        <w:tc>
          <w:tcPr>
            <w:tcW w:w="40" w:type="dxa"/>
            <w:vAlign w:val="bottom"/>
          </w:tcPr>
          <w:p>
            <w:pPr>
              <w:spacing w:after="0"/>
              <w:rPr>
                <w:sz w:val="23"/>
                <w:szCs w:val="23"/>
                <w:color w:val="auto"/>
              </w:rPr>
            </w:pPr>
          </w:p>
        </w:tc>
        <w:tc>
          <w:tcPr>
            <w:tcW w:w="5360" w:type="dxa"/>
            <w:vAlign w:val="bottom"/>
            <w:gridSpan w:val="17"/>
          </w:tcPr>
          <w:p>
            <w:pPr>
              <w:spacing w:after="0"/>
              <w:rPr>
                <w:rFonts w:ascii="Arial" w:cs="Arial" w:eastAsia="Arial" w:hAnsi="Arial"/>
                <w:sz w:val="12"/>
                <w:szCs w:val="12"/>
                <w:color w:val="0000EE"/>
                <w:w w:val="93"/>
              </w:rPr>
            </w:pPr>
            <w:hyperlink r:id="rId174">
              <w:r>
                <w:rPr>
                  <w:rFonts w:ascii="Arial" w:cs="Arial" w:eastAsia="Arial" w:hAnsi="Arial"/>
                  <w:sz w:val="12"/>
                  <w:szCs w:val="12"/>
                  <w:color w:val="0000EE"/>
                  <w:w w:val="93"/>
                </w:rPr>
                <w:t>Omnibus Amendment to Convertible Note and Warrant Purchase Agreement, Convertible Promissory Notes</w:t>
              </w:r>
            </w:hyperlink>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0" w:type="dxa"/>
            <w:vAlign w:val="bottom"/>
            <w:tcBorders>
              <w:top w:val="single" w:sz="8" w:color="0000EE"/>
            </w:tcBorders>
            <w:gridSpan w:val="14"/>
          </w:tcPr>
          <w:p>
            <w:pPr>
              <w:spacing w:after="0" w:line="124" w:lineRule="exact"/>
              <w:rPr>
                <w:rFonts w:ascii="Arial" w:cs="Arial" w:eastAsia="Arial" w:hAnsi="Arial"/>
                <w:sz w:val="12"/>
                <w:szCs w:val="12"/>
                <w:color w:val="0000EE"/>
                <w:w w:val="93"/>
              </w:rPr>
            </w:pPr>
            <w:hyperlink r:id="rId174">
              <w:r>
                <w:rPr>
                  <w:rFonts w:ascii="Arial" w:cs="Arial" w:eastAsia="Arial" w:hAnsi="Arial"/>
                  <w:sz w:val="12"/>
                  <w:szCs w:val="12"/>
                  <w:color w:val="0000EE"/>
                  <w:w w:val="93"/>
                </w:rPr>
                <w:t>and Warrants to Purchase Shares, dated May 5, 2014, by and among Soleno Therapeutics, Inc. and the</w:t>
              </w:r>
            </w:hyperlink>
          </w:p>
        </w:tc>
        <w:tc>
          <w:tcPr>
            <w:tcW w:w="160" w:type="dxa"/>
            <w:vAlign w:val="bottom"/>
            <w:gridSpan w:val="3"/>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90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investors named therein.</w:t>
              </w:r>
            </w:hyperlink>
          </w:p>
        </w:tc>
        <w:tc>
          <w:tcPr>
            <w:tcW w:w="460" w:type="dxa"/>
            <w:vAlign w:val="bottom"/>
            <w:gridSpan w:val="9"/>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180" w:type="dxa"/>
            <w:vAlign w:val="bottom"/>
            <w:gridSpan w:val="15"/>
          </w:tcPr>
          <w:p>
            <w:pPr>
              <w:spacing w:after="0" w:line="20" w:lineRule="exact"/>
              <w:rPr>
                <w:sz w:val="1"/>
                <w:szCs w:val="1"/>
                <w:color w:val="auto"/>
              </w:rPr>
            </w:pPr>
          </w:p>
        </w:tc>
      </w:tr>
      <w:tr>
        <w:trPr>
          <w:trHeight w:val="295"/>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10.19</w:t>
            </w:r>
          </w:p>
        </w:tc>
        <w:tc>
          <w:tcPr>
            <w:tcW w:w="40" w:type="dxa"/>
            <w:vAlign w:val="bottom"/>
          </w:tcPr>
          <w:p>
            <w:pPr>
              <w:spacing w:after="0"/>
              <w:rPr>
                <w:sz w:val="24"/>
                <w:szCs w:val="24"/>
                <w:color w:val="auto"/>
              </w:rPr>
            </w:pPr>
          </w:p>
        </w:tc>
        <w:tc>
          <w:tcPr>
            <w:tcW w:w="5360" w:type="dxa"/>
            <w:vAlign w:val="bottom"/>
            <w:gridSpan w:val="17"/>
          </w:tcPr>
          <w:p>
            <w:pPr>
              <w:spacing w:after="0"/>
              <w:rPr>
                <w:rFonts w:ascii="Arial" w:cs="Arial" w:eastAsia="Arial" w:hAnsi="Arial"/>
                <w:sz w:val="12"/>
                <w:szCs w:val="12"/>
                <w:u w:val="single" w:color="auto"/>
                <w:color w:val="0000EE"/>
                <w:w w:val="93"/>
              </w:rPr>
            </w:pPr>
            <w:hyperlink r:id="rId175">
              <w:r>
                <w:rPr>
                  <w:rFonts w:ascii="Arial" w:cs="Arial" w:eastAsia="Arial" w:hAnsi="Arial"/>
                  <w:sz w:val="12"/>
                  <w:szCs w:val="12"/>
                  <w:u w:val="single" w:color="auto"/>
                  <w:color w:val="0000EE"/>
                  <w:w w:val="93"/>
                </w:rPr>
                <w:t>Sublease, dated May 20, 2014, by and among Soleno Therapeutics, Inc. and Silicon Valley Finance Group.</w:t>
              </w:r>
            </w:hyperlink>
          </w:p>
        </w:tc>
      </w:tr>
      <w:tr>
        <w:trPr>
          <w:trHeight w:val="288"/>
        </w:trPr>
        <w:tc>
          <w:tcPr>
            <w:tcW w:w="820" w:type="dxa"/>
            <w:vAlign w:val="bottom"/>
          </w:tcPr>
          <w:p>
            <w:pPr>
              <w:jc w:val="center"/>
              <w:spacing w:after="0"/>
              <w:rPr>
                <w:sz w:val="20"/>
                <w:szCs w:val="20"/>
                <w:color w:val="auto"/>
              </w:rPr>
            </w:pPr>
            <w:r>
              <w:rPr>
                <w:rFonts w:ascii="Arial" w:cs="Arial" w:eastAsia="Arial" w:hAnsi="Arial"/>
                <w:sz w:val="12"/>
                <w:szCs w:val="12"/>
                <w:color w:val="auto"/>
                <w:w w:val="86"/>
              </w:rPr>
              <w:t>10.20</w:t>
            </w:r>
          </w:p>
        </w:tc>
        <w:tc>
          <w:tcPr>
            <w:tcW w:w="40" w:type="dxa"/>
            <w:vAlign w:val="bottom"/>
          </w:tcPr>
          <w:p>
            <w:pPr>
              <w:spacing w:after="0"/>
              <w:rPr>
                <w:sz w:val="24"/>
                <w:szCs w:val="24"/>
                <w:color w:val="auto"/>
              </w:rPr>
            </w:pPr>
          </w:p>
        </w:tc>
        <w:tc>
          <w:tcPr>
            <w:tcW w:w="5360" w:type="dxa"/>
            <w:vAlign w:val="bottom"/>
            <w:gridSpan w:val="17"/>
          </w:tcPr>
          <w:p>
            <w:pPr>
              <w:spacing w:after="0"/>
              <w:rPr>
                <w:rFonts w:ascii="Arial" w:cs="Arial" w:eastAsia="Arial" w:hAnsi="Arial"/>
                <w:sz w:val="12"/>
                <w:szCs w:val="12"/>
                <w:u w:val="single" w:color="auto"/>
                <w:color w:val="0000EE"/>
              </w:rPr>
            </w:pPr>
            <w:hyperlink r:id="rId176">
              <w:r>
                <w:rPr>
                  <w:rFonts w:ascii="Arial" w:cs="Arial" w:eastAsia="Arial" w:hAnsi="Arial"/>
                  <w:sz w:val="12"/>
                  <w:szCs w:val="12"/>
                  <w:u w:val="single" w:color="auto"/>
                  <w:color w:val="0000EE"/>
                </w:rPr>
                <w:t>Offer Letter, dated June 24, 2014, by and between Soleno Therapeutics, Inc. and David D. O’Toole.</w:t>
              </w:r>
            </w:hyperlink>
          </w:p>
        </w:tc>
      </w:tr>
      <w:tr>
        <w:trPr>
          <w:trHeight w:val="288"/>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8"/>
          </w:tcPr>
          <w:p>
            <w:pPr>
              <w:ind w:left="4720"/>
              <w:spacing w:after="0"/>
              <w:rPr>
                <w:sz w:val="20"/>
                <w:szCs w:val="20"/>
                <w:color w:val="auto"/>
              </w:rPr>
            </w:pPr>
            <w:r>
              <w:rPr>
                <w:rFonts w:ascii="Arial" w:cs="Arial" w:eastAsia="Arial" w:hAnsi="Arial"/>
                <w:sz w:val="12"/>
                <w:szCs w:val="12"/>
                <w:color w:val="auto"/>
              </w:rPr>
              <w:t>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8947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10"/>
          <w:szCs w:val="10"/>
          <w:b w:val="1"/>
          <w:bCs w:val="1"/>
          <w:color w:val="auto"/>
        </w:rPr>
        <w:t>Incorporated by Reference from</w:t>
      </w:r>
    </w:p>
    <w:tbl>
      <w:tblPr>
        <w:tblLayout w:type="fixed"/>
        <w:tblInd w:w="0" w:type="dxa"/>
        <w:tblCellMar>
          <w:top w:w="0" w:type="dxa"/>
          <w:left w:w="0" w:type="dxa"/>
          <w:bottom w:w="0" w:type="dxa"/>
          <w:right w:w="0" w:type="dxa"/>
        </w:tblCellMar>
      </w:tblPr>
      <w:tr>
        <w:trPr>
          <w:trHeight w:val="74"/>
        </w:trPr>
        <w:tc>
          <w:tcPr>
            <w:tcW w:w="380" w:type="dxa"/>
            <w:vAlign w:val="bottom"/>
            <w:tcBorders>
              <w:top w:val="single" w:sz="8" w:color="auto"/>
            </w:tcBorders>
          </w:tcPr>
          <w:p>
            <w:pPr>
              <w:spacing w:after="0"/>
              <w:rPr>
                <w:sz w:val="6"/>
                <w:szCs w:val="6"/>
                <w:color w:val="auto"/>
              </w:rPr>
            </w:pPr>
          </w:p>
        </w:tc>
        <w:tc>
          <w:tcPr>
            <w:tcW w:w="1680" w:type="dxa"/>
            <w:vAlign w:val="bottom"/>
            <w:tcBorders>
              <w:top w:val="single" w:sz="8" w:color="auto"/>
            </w:tcBorders>
            <w:gridSpan w:val="3"/>
          </w:tcPr>
          <w:p>
            <w:pPr>
              <w:jc w:val="center"/>
              <w:ind w:right="1040"/>
              <w:spacing w:after="0" w:line="74" w:lineRule="exact"/>
              <w:rPr>
                <w:sz w:val="20"/>
                <w:szCs w:val="20"/>
                <w:color w:val="auto"/>
              </w:rPr>
            </w:pPr>
            <w:r>
              <w:rPr>
                <w:rFonts w:ascii="Arial" w:cs="Arial" w:eastAsia="Arial" w:hAnsi="Arial"/>
                <w:sz w:val="8"/>
                <w:szCs w:val="8"/>
                <w:b w:val="1"/>
                <w:bCs w:val="1"/>
                <w:color w:val="auto"/>
              </w:rPr>
              <w:t>Registrant’s</w:t>
            </w:r>
          </w:p>
        </w:tc>
        <w:tc>
          <w:tcPr>
            <w:tcW w:w="1400" w:type="dxa"/>
            <w:vAlign w:val="bottom"/>
            <w:tcBorders>
              <w:top w:val="single" w:sz="8" w:color="auto"/>
            </w:tcBorders>
            <w:gridSpan w:val="2"/>
          </w:tcPr>
          <w:p>
            <w:pPr>
              <w:jc w:val="center"/>
              <w:ind w:right="76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Filed</w:t>
            </w:r>
          </w:p>
        </w:tc>
      </w:tr>
      <w:tr>
        <w:trPr>
          <w:trHeight w:val="113"/>
        </w:trPr>
        <w:tc>
          <w:tcPr>
            <w:tcW w:w="380" w:type="dxa"/>
            <w:vAlign w:val="bottom"/>
          </w:tcPr>
          <w:p>
            <w:pPr>
              <w:spacing w:after="0"/>
              <w:rPr>
                <w:sz w:val="9"/>
                <w:szCs w:val="9"/>
                <w:color w:val="auto"/>
              </w:rPr>
            </w:pPr>
          </w:p>
        </w:tc>
        <w:tc>
          <w:tcPr>
            <w:tcW w:w="1680" w:type="dxa"/>
            <w:vAlign w:val="bottom"/>
            <w:gridSpan w:val="3"/>
          </w:tcPr>
          <w:p>
            <w:pPr>
              <w:jc w:val="center"/>
              <w:ind w:right="1040"/>
              <w:spacing w:after="0" w:line="114" w:lineRule="exact"/>
              <w:rPr>
                <w:sz w:val="20"/>
                <w:szCs w:val="20"/>
                <w:color w:val="auto"/>
              </w:rPr>
            </w:pPr>
            <w:r>
              <w:rPr>
                <w:rFonts w:ascii="Arial" w:cs="Arial" w:eastAsia="Arial" w:hAnsi="Arial"/>
                <w:sz w:val="10"/>
                <w:szCs w:val="10"/>
                <w:b w:val="1"/>
                <w:bCs w:val="1"/>
                <w:color w:val="auto"/>
                <w:w w:val="87"/>
              </w:rPr>
              <w:t>Form</w:t>
            </w:r>
          </w:p>
        </w:tc>
        <w:tc>
          <w:tcPr>
            <w:tcW w:w="1400" w:type="dxa"/>
            <w:vAlign w:val="bottom"/>
            <w:gridSpan w:val="2"/>
          </w:tcPr>
          <w:p>
            <w:pPr>
              <w:jc w:val="center"/>
              <w:ind w:right="760"/>
              <w:spacing w:after="0" w:line="114" w:lineRule="exact"/>
              <w:rPr>
                <w:sz w:val="20"/>
                <w:szCs w:val="20"/>
                <w:color w:val="auto"/>
              </w:rPr>
            </w:pPr>
            <w:r>
              <w:rPr>
                <w:rFonts w:ascii="Arial" w:cs="Arial" w:eastAsia="Arial" w:hAnsi="Arial"/>
                <w:sz w:val="10"/>
                <w:szCs w:val="10"/>
                <w:b w:val="1"/>
                <w:bCs w:val="1"/>
                <w:color w:val="auto"/>
                <w:w w:val="91"/>
              </w:rPr>
              <w:t>with the SEC</w:t>
            </w:r>
          </w:p>
        </w:tc>
        <w:tc>
          <w:tcPr>
            <w:tcW w:w="76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9"/>
              </w:rPr>
              <w:t>Number</w:t>
            </w:r>
          </w:p>
        </w:tc>
        <w:tc>
          <w:tcPr>
            <w:tcW w:w="8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r>
      <w:tr>
        <w:trPr>
          <w:trHeight w:val="142"/>
        </w:trPr>
        <w:tc>
          <w:tcPr>
            <w:tcW w:w="38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S-1</w:t>
            </w: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5"/>
              </w:rPr>
              <w:t>10.9</w:t>
            </w: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423"/>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10.10</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10.11</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76"/>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10.12</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76"/>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10.14</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76"/>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10.15</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10.17</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76"/>
        </w:trPr>
        <w:tc>
          <w:tcPr>
            <w:tcW w:w="380" w:type="dxa"/>
            <w:vAlign w:val="bottom"/>
          </w:tcPr>
          <w:p>
            <w:pPr>
              <w:ind w:left="40"/>
              <w:spacing w:after="0"/>
              <w:rPr>
                <w:sz w:val="20"/>
                <w:szCs w:val="20"/>
                <w:color w:val="auto"/>
              </w:rPr>
            </w:pPr>
            <w:r>
              <w:rPr>
                <w:rFonts w:ascii="Arial" w:cs="Arial" w:eastAsia="Arial" w:hAnsi="Arial"/>
                <w:sz w:val="12"/>
                <w:szCs w:val="12"/>
                <w:color w:val="auto"/>
              </w:rPr>
              <w:t>S-1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1"/>
              </w:rPr>
              <w:t>June 10,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10.18</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380" w:type="dxa"/>
            <w:vAlign w:val="bottom"/>
          </w:tcPr>
          <w:p>
            <w:pPr>
              <w:ind w:left="40"/>
              <w:spacing w:after="0"/>
              <w:rPr>
                <w:sz w:val="20"/>
                <w:szCs w:val="20"/>
                <w:color w:val="auto"/>
              </w:rPr>
            </w:pPr>
            <w:r>
              <w:rPr>
                <w:rFonts w:ascii="Arial" w:cs="Arial" w:eastAsia="Arial" w:hAnsi="Arial"/>
                <w:sz w:val="12"/>
                <w:szCs w:val="12"/>
                <w:color w:val="auto"/>
              </w:rPr>
              <w:t>S-1/A</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July 1,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10.19</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8"/>
        </w:trPr>
        <w:tc>
          <w:tcPr>
            <w:tcW w:w="380" w:type="dxa"/>
            <w:vAlign w:val="bottom"/>
          </w:tcPr>
          <w:p>
            <w:pPr>
              <w:ind w:left="40"/>
              <w:spacing w:after="0"/>
              <w:rPr>
                <w:sz w:val="20"/>
                <w:szCs w:val="20"/>
                <w:color w:val="auto"/>
              </w:rPr>
            </w:pPr>
            <w:r>
              <w:rPr>
                <w:rFonts w:ascii="Arial" w:cs="Arial" w:eastAsia="Arial" w:hAnsi="Arial"/>
                <w:sz w:val="12"/>
                <w:szCs w:val="12"/>
                <w:color w:val="auto"/>
              </w:rPr>
              <w:t>S-1/A</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w w:val="98"/>
              </w:rPr>
              <w:t>July 22, 2014</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3"/>
              </w:rPr>
              <w:t>10.20</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220" w:space="20"/>
            <w:col w:w="5060"/>
          </w:cols>
          <w:pgMar w:left="300" w:top="268" w:right="2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Exhibit</w:t>
            </w:r>
          </w:p>
        </w:tc>
        <w:tc>
          <w:tcPr>
            <w:tcW w:w="5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ind w:left="720"/>
              <w:spacing w:after="0"/>
              <w:rPr>
                <w:sz w:val="20"/>
                <w:szCs w:val="20"/>
                <w:color w:val="auto"/>
              </w:rPr>
            </w:pPr>
            <w:r>
              <w:rPr>
                <w:rFonts w:ascii="Arial" w:cs="Arial" w:eastAsia="Arial" w:hAnsi="Arial"/>
                <w:sz w:val="10"/>
                <w:szCs w:val="10"/>
                <w:b w:val="1"/>
                <w:bCs w:val="1"/>
                <w:color w:val="auto"/>
                <w:w w:val="92"/>
              </w:rPr>
              <w:t>Incorporated by Reference from</w:t>
            </w: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80" w:type="dxa"/>
            <w:vAlign w:val="bottom"/>
            <w:gridSpan w:val="2"/>
            <w:vMerge w:val="continue"/>
          </w:tcPr>
          <w:p>
            <w:pPr>
              <w:spacing w:after="0"/>
              <w:rPr>
                <w:sz w:val="6"/>
                <w:szCs w:val="6"/>
                <w:color w:val="auto"/>
              </w:rPr>
            </w:pPr>
          </w:p>
        </w:tc>
        <w:tc>
          <w:tcPr>
            <w:tcW w:w="5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Registrant’s</w:t>
            </w:r>
          </w:p>
        </w:tc>
        <w:tc>
          <w:tcPr>
            <w:tcW w:w="2140" w:type="dxa"/>
            <w:vAlign w:val="bottom"/>
            <w:gridSpan w:val="2"/>
          </w:tcPr>
          <w:p>
            <w:pPr>
              <w:jc w:val="center"/>
              <w:ind w:right="4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Filed</w:t>
            </w:r>
          </w:p>
        </w:tc>
        <w:tc>
          <w:tcPr>
            <w:tcW w:w="0" w:type="dxa"/>
            <w:vAlign w:val="bottom"/>
          </w:tcPr>
          <w:p>
            <w:pPr>
              <w:spacing w:after="0"/>
              <w:rPr>
                <w:sz w:val="1"/>
                <w:szCs w:val="1"/>
                <w:color w:val="auto"/>
              </w:rPr>
            </w:pPr>
          </w:p>
        </w:tc>
      </w:tr>
      <w:tr>
        <w:trPr>
          <w:trHeight w:val="113"/>
        </w:trPr>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5360" w:type="dxa"/>
            <w:vAlign w:val="bottom"/>
            <w:tcBorders>
              <w:bottom w:val="single" w:sz="8" w:color="auto"/>
            </w:tcBorders>
          </w:tcPr>
          <w:p>
            <w:pPr>
              <w:ind w:left="2220"/>
              <w:spacing w:after="0" w:line="114" w:lineRule="exact"/>
              <w:rPr>
                <w:sz w:val="20"/>
                <w:szCs w:val="20"/>
                <w:color w:val="auto"/>
              </w:rPr>
            </w:pPr>
            <w:r>
              <w:rPr>
                <w:rFonts w:ascii="Arial" w:cs="Arial" w:eastAsia="Arial" w:hAnsi="Arial"/>
                <w:sz w:val="10"/>
                <w:szCs w:val="10"/>
                <w:b w:val="1"/>
                <w:bCs w:val="1"/>
                <w:color w:val="auto"/>
              </w:rPr>
              <w:t>Description of Document</w:t>
            </w:r>
          </w:p>
        </w:tc>
        <w:tc>
          <w:tcPr>
            <w:tcW w:w="40" w:type="dxa"/>
            <w:vAlign w:val="bottom"/>
          </w:tcPr>
          <w:p>
            <w:pPr>
              <w:spacing w:after="0"/>
              <w:rPr>
                <w:sz w:val="9"/>
                <w:szCs w:val="9"/>
                <w:color w:val="auto"/>
              </w:rPr>
            </w:pP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5"/>
              </w:rPr>
              <w:t>Form</w:t>
            </w:r>
          </w:p>
        </w:tc>
        <w:tc>
          <w:tcPr>
            <w:tcW w:w="40" w:type="dxa"/>
            <w:vAlign w:val="bottom"/>
          </w:tcPr>
          <w:p>
            <w:pPr>
              <w:spacing w:after="0"/>
              <w:rPr>
                <w:sz w:val="9"/>
                <w:szCs w:val="9"/>
                <w:color w:val="auto"/>
              </w:rPr>
            </w:pPr>
          </w:p>
        </w:tc>
        <w:tc>
          <w:tcPr>
            <w:tcW w:w="21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00"/>
          </w:cols>
          <w:pgMar w:left="300" w:top="268" w:right="299" w:bottom="1440" w:gutter="0" w:footer="0" w:header="0"/>
        </w:sectPr>
      </w:pPr>
    </w:p>
    <w:p>
      <w:pPr>
        <w:ind w:left="880" w:right="640" w:hanging="593"/>
        <w:spacing w:after="0" w:line="276" w:lineRule="auto"/>
        <w:tabs>
          <w:tab w:leader="none" w:pos="860" w:val="left"/>
        </w:tabs>
        <w:rPr>
          <w:rFonts w:ascii="Arial" w:cs="Arial" w:eastAsia="Arial" w:hAnsi="Arial"/>
          <w:sz w:val="12"/>
          <w:szCs w:val="12"/>
          <w:u w:val="single" w:color="auto"/>
          <w:color w:val="0000EE"/>
        </w:rPr>
      </w:pPr>
      <w:r>
        <w:rPr>
          <w:rFonts w:ascii="Arial" w:cs="Arial" w:eastAsia="Arial" w:hAnsi="Arial"/>
          <w:sz w:val="12"/>
          <w:szCs w:val="12"/>
          <w:color w:val="auto"/>
        </w:rPr>
        <w:t>10.21</w:t>
      </w:r>
      <w:r>
        <w:rPr>
          <w:sz w:val="20"/>
          <w:szCs w:val="20"/>
          <w:color w:val="auto"/>
        </w:rPr>
        <w:tab/>
      </w:r>
      <w:hyperlink r:id="rId178">
        <w:r>
          <w:rPr>
            <w:rFonts w:ascii="Arial" w:cs="Arial" w:eastAsia="Arial" w:hAnsi="Arial"/>
            <w:sz w:val="12"/>
            <w:szCs w:val="12"/>
            <w:u w:val="single" w:color="auto"/>
            <w:color w:val="0000EE"/>
          </w:rPr>
          <w:t>Loan Agreement by and between Soleno Therapeutics, Inc. and the investors named therein, dated</w:t>
        </w:r>
      </w:hyperlink>
      <w:r>
        <w:rPr>
          <w:rFonts w:ascii="Arial" w:cs="Arial" w:eastAsia="Arial" w:hAnsi="Arial"/>
          <w:sz w:val="12"/>
          <w:szCs w:val="12"/>
          <w:u w:val="single" w:color="auto"/>
          <w:color w:val="0000EE"/>
        </w:rPr>
        <w:t xml:space="preserve"> </w:t>
      </w:r>
      <w:hyperlink r:id="rId178">
        <w:r>
          <w:rPr>
            <w:rFonts w:ascii="Arial" w:cs="Arial" w:eastAsia="Arial" w:hAnsi="Arial"/>
            <w:sz w:val="12"/>
            <w:szCs w:val="12"/>
            <w:u w:val="single" w:color="auto"/>
            <w:color w:val="0000EE"/>
          </w:rPr>
          <w:t>September 29, 2014.</w:t>
        </w:r>
      </w:hyperlink>
    </w:p>
    <w:p>
      <w:pPr>
        <w:spacing w:after="0" w:line="115"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10.22</w:t>
      </w:r>
      <w:r>
        <w:rPr>
          <w:sz w:val="20"/>
          <w:szCs w:val="20"/>
          <w:color w:val="auto"/>
        </w:rPr>
        <w:tab/>
      </w:r>
      <w:hyperlink r:id="rId179">
        <w:r>
          <w:rPr>
            <w:rFonts w:ascii="Arial" w:cs="Arial" w:eastAsia="Arial" w:hAnsi="Arial"/>
            <w:sz w:val="10"/>
            <w:szCs w:val="10"/>
            <w:u w:val="single" w:color="auto"/>
            <w:color w:val="0000EE"/>
          </w:rPr>
          <w:t>Revised Second Tranche Closing Notice and Letter Amendment dated August 18, 2014 relating to the August</w:t>
        </w:r>
      </w:hyperlink>
    </w:p>
    <w:p>
      <w:pPr>
        <w:spacing w:after="0" w:line="15" w:lineRule="exact"/>
        <w:rPr>
          <w:sz w:val="20"/>
          <w:szCs w:val="20"/>
          <w:color w:val="auto"/>
        </w:rPr>
      </w:pPr>
    </w:p>
    <w:p>
      <w:pPr>
        <w:ind w:left="880"/>
        <w:spacing w:after="0"/>
        <w:rPr>
          <w:rFonts w:ascii="Arial" w:cs="Arial" w:eastAsia="Arial" w:hAnsi="Arial"/>
          <w:sz w:val="12"/>
          <w:szCs w:val="12"/>
          <w:u w:val="single" w:color="auto"/>
          <w:color w:val="0000EE"/>
        </w:rPr>
      </w:pPr>
      <w:hyperlink r:id="rId179">
        <w:r>
          <w:rPr>
            <w:rFonts w:ascii="Arial" w:cs="Arial" w:eastAsia="Arial" w:hAnsi="Arial"/>
            <w:sz w:val="12"/>
            <w:szCs w:val="12"/>
            <w:u w:val="single" w:color="auto"/>
            <w:color w:val="0000EE"/>
          </w:rPr>
          <w:t>2014 Notes.</w:t>
        </w:r>
      </w:hyperlink>
    </w:p>
    <w:p>
      <w:pPr>
        <w:spacing w:after="0" w:line="141" w:lineRule="exact"/>
        <w:rPr>
          <w:sz w:val="20"/>
          <w:szCs w:val="20"/>
          <w:color w:val="auto"/>
        </w:rPr>
      </w:pPr>
    </w:p>
    <w:p>
      <w:pPr>
        <w:ind w:left="880" w:right="260" w:hanging="593"/>
        <w:spacing w:after="0" w:line="276" w:lineRule="auto"/>
        <w:tabs>
          <w:tab w:leader="none" w:pos="860" w:val="left"/>
        </w:tabs>
        <w:rPr>
          <w:rFonts w:ascii="Arial" w:cs="Arial" w:eastAsia="Arial" w:hAnsi="Arial"/>
          <w:sz w:val="12"/>
          <w:szCs w:val="12"/>
          <w:u w:val="single" w:color="auto"/>
          <w:color w:val="0000EE"/>
        </w:rPr>
      </w:pPr>
      <w:r>
        <w:rPr>
          <w:rFonts w:ascii="Arial" w:cs="Arial" w:eastAsia="Arial" w:hAnsi="Arial"/>
          <w:sz w:val="12"/>
          <w:szCs w:val="12"/>
          <w:color w:val="auto"/>
        </w:rPr>
        <w:t>10.23</w:t>
      </w:r>
      <w:r>
        <w:rPr>
          <w:sz w:val="20"/>
          <w:szCs w:val="20"/>
          <w:color w:val="auto"/>
        </w:rPr>
        <w:tab/>
      </w:r>
      <w:hyperlink r:id="rId180">
        <w:r>
          <w:rPr>
            <w:rFonts w:ascii="Arial" w:cs="Arial" w:eastAsia="Arial" w:hAnsi="Arial"/>
            <w:sz w:val="12"/>
            <w:szCs w:val="12"/>
            <w:u w:val="single" w:color="auto"/>
            <w:color w:val="0000EE"/>
          </w:rPr>
          <w:t>Second Tranche Subsequent Closing Notice and Letter Amendment dated October 22, 2014 relating to the</w:t>
        </w:r>
      </w:hyperlink>
      <w:r>
        <w:rPr>
          <w:rFonts w:ascii="Arial" w:cs="Arial" w:eastAsia="Arial" w:hAnsi="Arial"/>
          <w:sz w:val="12"/>
          <w:szCs w:val="12"/>
          <w:u w:val="single" w:color="auto"/>
          <w:color w:val="0000EE"/>
        </w:rPr>
        <w:t xml:space="preserve"> </w:t>
      </w:r>
      <w:hyperlink r:id="rId180">
        <w:r>
          <w:rPr>
            <w:rFonts w:ascii="Arial" w:cs="Arial" w:eastAsia="Arial" w:hAnsi="Arial"/>
            <w:sz w:val="12"/>
            <w:szCs w:val="12"/>
            <w:u w:val="single" w:color="auto"/>
            <w:color w:val="0000EE"/>
          </w:rPr>
          <w:t>October 2014 Notes.</w:t>
        </w:r>
      </w:hyperlink>
    </w:p>
    <w:p>
      <w:pPr>
        <w:spacing w:after="0" w:line="115"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10.24</w:t>
      </w:r>
      <w:r>
        <w:rPr>
          <w:sz w:val="20"/>
          <w:szCs w:val="20"/>
          <w:color w:val="auto"/>
        </w:rPr>
        <w:tab/>
      </w:r>
      <w:hyperlink r:id="rId181">
        <w:r>
          <w:rPr>
            <w:rFonts w:ascii="Arial" w:cs="Arial" w:eastAsia="Arial" w:hAnsi="Arial"/>
            <w:sz w:val="10"/>
            <w:szCs w:val="10"/>
            <w:u w:val="single" w:color="auto"/>
            <w:color w:val="0000EE"/>
          </w:rPr>
          <w:t>Form of Warrant Exercise Agreement.</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10.25</w:t>
      </w:r>
      <w:r>
        <w:rPr>
          <w:sz w:val="20"/>
          <w:szCs w:val="20"/>
          <w:color w:val="auto"/>
        </w:rPr>
        <w:tab/>
      </w:r>
      <w:hyperlink r:id="rId182">
        <w:r>
          <w:rPr>
            <w:rFonts w:ascii="Arial" w:cs="Arial" w:eastAsia="Arial" w:hAnsi="Arial"/>
            <w:sz w:val="10"/>
            <w:szCs w:val="10"/>
            <w:u w:val="single" w:color="auto"/>
            <w:color w:val="0000EE"/>
          </w:rPr>
          <w:t>Advisory Agreement by and between Soleno Therapeutics, Inc. and Maxim Group LLC, dated March 4, 2015.</w:t>
        </w:r>
      </w:hyperlink>
    </w:p>
    <w:p>
      <w:pPr>
        <w:spacing w:after="0" w:line="150" w:lineRule="exact"/>
        <w:rPr>
          <w:sz w:val="20"/>
          <w:szCs w:val="20"/>
          <w:color w:val="auto"/>
        </w:rPr>
      </w:pPr>
    </w:p>
    <w:p>
      <w:pPr>
        <w:ind w:left="880" w:right="120" w:hanging="593"/>
        <w:spacing w:after="0" w:line="276" w:lineRule="auto"/>
        <w:tabs>
          <w:tab w:leader="none" w:pos="860" w:val="left"/>
        </w:tabs>
        <w:rPr>
          <w:rFonts w:ascii="Arial" w:cs="Arial" w:eastAsia="Arial" w:hAnsi="Arial"/>
          <w:sz w:val="12"/>
          <w:szCs w:val="12"/>
          <w:u w:val="single" w:color="auto"/>
          <w:color w:val="0000EE"/>
        </w:rPr>
      </w:pPr>
      <w:r>
        <w:rPr>
          <w:rFonts w:ascii="Arial" w:cs="Arial" w:eastAsia="Arial" w:hAnsi="Arial"/>
          <w:sz w:val="12"/>
          <w:szCs w:val="12"/>
          <w:color w:val="auto"/>
        </w:rPr>
        <w:t>10.26</w:t>
      </w:r>
      <w:r>
        <w:rPr>
          <w:sz w:val="20"/>
          <w:szCs w:val="20"/>
          <w:color w:val="auto"/>
        </w:rPr>
        <w:tab/>
      </w:r>
      <w:hyperlink r:id="rId183">
        <w:r>
          <w:rPr>
            <w:rFonts w:ascii="Arial" w:cs="Arial" w:eastAsia="Arial" w:hAnsi="Arial"/>
            <w:sz w:val="12"/>
            <w:szCs w:val="12"/>
            <w:u w:val="single" w:color="auto"/>
            <w:color w:val="0000EE"/>
          </w:rPr>
          <w:t>Agreement and First Amendment to Asset Purchase Agreement between the Company, BDDI and affiliate of</w:t>
        </w:r>
      </w:hyperlink>
      <w:r>
        <w:rPr>
          <w:rFonts w:ascii="Arial" w:cs="Arial" w:eastAsia="Arial" w:hAnsi="Arial"/>
          <w:sz w:val="12"/>
          <w:szCs w:val="12"/>
          <w:u w:val="single" w:color="auto"/>
          <w:color w:val="0000EE"/>
        </w:rPr>
        <w:t xml:space="preserve"> </w:t>
      </w:r>
      <w:hyperlink r:id="rId183">
        <w:r>
          <w:rPr>
            <w:rFonts w:ascii="Arial" w:cs="Arial" w:eastAsia="Arial" w:hAnsi="Arial"/>
            <w:sz w:val="12"/>
            <w:szCs w:val="12"/>
            <w:u w:val="single" w:color="auto"/>
            <w:color w:val="0000EE"/>
          </w:rPr>
          <w:t>BDDI, dated June 30, 2015.</w:t>
        </w:r>
      </w:hyperlink>
    </w:p>
    <w:p>
      <w:pPr>
        <w:spacing w:after="0" w:line="115"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10.27</w:t>
      </w:r>
      <w:r>
        <w:rPr>
          <w:sz w:val="20"/>
          <w:szCs w:val="20"/>
          <w:color w:val="auto"/>
        </w:rPr>
        <w:tab/>
      </w:r>
      <w:hyperlink r:id="rId184">
        <w:r>
          <w:rPr>
            <w:rFonts w:ascii="Arial" w:cs="Arial" w:eastAsia="Arial" w:hAnsi="Arial"/>
            <w:sz w:val="10"/>
            <w:szCs w:val="10"/>
            <w:u w:val="single" w:color="auto"/>
            <w:color w:val="0000EE"/>
          </w:rPr>
          <w:t>Common Stock Purchase Agreement between the Company and an affiliate of BDDI, dated June 30, 2015.</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10.28</w:t>
      </w:r>
      <w:r>
        <w:rPr>
          <w:sz w:val="20"/>
          <w:szCs w:val="20"/>
          <w:color w:val="auto"/>
        </w:rPr>
        <w:tab/>
      </w:r>
      <w:hyperlink r:id="rId185">
        <w:r>
          <w:rPr>
            <w:rFonts w:ascii="Arial" w:cs="Arial" w:eastAsia="Arial" w:hAnsi="Arial"/>
            <w:sz w:val="10"/>
            <w:szCs w:val="10"/>
            <w:u w:val="single" w:color="auto"/>
            <w:color w:val="0000EE"/>
          </w:rPr>
          <w:t>Registration Rights Agreement between the Company and Aspire Capital Fund, LLC, dated July 24, 2015.</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10.29</w:t>
      </w:r>
      <w:r>
        <w:rPr>
          <w:sz w:val="20"/>
          <w:szCs w:val="20"/>
          <w:color w:val="auto"/>
        </w:rPr>
        <w:tab/>
      </w:r>
      <w:hyperlink r:id="rId186">
        <w:r>
          <w:rPr>
            <w:rFonts w:ascii="Arial" w:cs="Arial" w:eastAsia="Arial" w:hAnsi="Arial"/>
            <w:sz w:val="10"/>
            <w:szCs w:val="10"/>
            <w:u w:val="single" w:color="auto"/>
            <w:color w:val="0000EE"/>
          </w:rPr>
          <w:t>Common Stock Purchase Agreement between the Company and Aspire Capital Fund, LLC, dated July 24,</w:t>
        </w:r>
      </w:hyperlink>
    </w:p>
    <w:p>
      <w:pPr>
        <w:spacing w:after="0" w:line="15" w:lineRule="exact"/>
        <w:rPr>
          <w:sz w:val="20"/>
          <w:szCs w:val="20"/>
          <w:color w:val="auto"/>
        </w:rPr>
      </w:pPr>
    </w:p>
    <w:p>
      <w:pPr>
        <w:ind w:left="880"/>
        <w:spacing w:after="0"/>
        <w:rPr>
          <w:rFonts w:ascii="Arial" w:cs="Arial" w:eastAsia="Arial" w:hAnsi="Arial"/>
          <w:sz w:val="12"/>
          <w:szCs w:val="12"/>
          <w:u w:val="single" w:color="auto"/>
          <w:color w:val="0000EE"/>
        </w:rPr>
      </w:pPr>
      <w:hyperlink r:id="rId186">
        <w:r>
          <w:rPr>
            <w:rFonts w:ascii="Arial" w:cs="Arial" w:eastAsia="Arial" w:hAnsi="Arial"/>
            <w:sz w:val="12"/>
            <w:szCs w:val="12"/>
            <w:u w:val="single" w:color="auto"/>
            <w:color w:val="0000EE"/>
          </w:rPr>
          <w:t>2015.</w:t>
        </w:r>
      </w:hyperlink>
    </w:p>
    <w:p>
      <w:pPr>
        <w:spacing w:after="0" w:line="141"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10.30</w:t>
      </w:r>
      <w:r>
        <w:rPr>
          <w:sz w:val="20"/>
          <w:szCs w:val="20"/>
          <w:color w:val="auto"/>
        </w:rPr>
        <w:tab/>
      </w:r>
      <w:hyperlink r:id="rId187">
        <w:r>
          <w:rPr>
            <w:rFonts w:ascii="Arial" w:cs="Arial" w:eastAsia="Arial" w:hAnsi="Arial"/>
            <w:sz w:val="10"/>
            <w:szCs w:val="10"/>
            <w:u w:val="single" w:color="auto"/>
            <w:color w:val="0000EE"/>
          </w:rPr>
          <w:t>Engagement Letter dated September 17, 2015, between Soleno Therapeutics, Inc. and Maxim Group, LLC.</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10.31</w:t>
      </w:r>
      <w:r>
        <w:rPr>
          <w:sz w:val="20"/>
          <w:szCs w:val="20"/>
          <w:color w:val="auto"/>
        </w:rPr>
        <w:tab/>
      </w:r>
      <w:hyperlink r:id="rId188">
        <w:r>
          <w:rPr>
            <w:rFonts w:ascii="Arial" w:cs="Arial" w:eastAsia="Arial" w:hAnsi="Arial"/>
            <w:sz w:val="10"/>
            <w:szCs w:val="10"/>
            <w:u w:val="single" w:color="auto"/>
            <w:color w:val="0000EE"/>
          </w:rPr>
          <w:t>Securities Purchase Agreement dated October 12, 2015.</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1"/>
          <w:szCs w:val="11"/>
          <w:u w:val="single" w:color="auto"/>
          <w:color w:val="0000EE"/>
        </w:rPr>
      </w:pPr>
      <w:r>
        <w:rPr>
          <w:rFonts w:ascii="Arial" w:cs="Arial" w:eastAsia="Arial" w:hAnsi="Arial"/>
          <w:sz w:val="12"/>
          <w:szCs w:val="12"/>
          <w:color w:val="auto"/>
        </w:rPr>
        <w:t>10.32</w:t>
      </w:r>
      <w:r>
        <w:rPr>
          <w:sz w:val="20"/>
          <w:szCs w:val="20"/>
          <w:color w:val="auto"/>
        </w:rPr>
        <w:tab/>
      </w:r>
      <w:hyperlink r:id="rId189">
        <w:r>
          <w:rPr>
            <w:rFonts w:ascii="Arial" w:cs="Arial" w:eastAsia="Arial" w:hAnsi="Arial"/>
            <w:sz w:val="11"/>
            <w:szCs w:val="11"/>
            <w:u w:val="single" w:color="auto"/>
            <w:color w:val="0000EE"/>
          </w:rPr>
          <w:t>Form of Registration Rights Agreement.</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1"/>
          <w:szCs w:val="11"/>
          <w:u w:val="single" w:color="auto"/>
          <w:color w:val="0000EE"/>
        </w:rPr>
      </w:pPr>
      <w:r>
        <w:rPr>
          <w:rFonts w:ascii="Arial" w:cs="Arial" w:eastAsia="Arial" w:hAnsi="Arial"/>
          <w:sz w:val="12"/>
          <w:szCs w:val="12"/>
          <w:color w:val="auto"/>
        </w:rPr>
        <w:t>10.33</w:t>
      </w:r>
      <w:r>
        <w:rPr>
          <w:sz w:val="20"/>
          <w:szCs w:val="20"/>
          <w:color w:val="auto"/>
        </w:rPr>
        <w:tab/>
      </w:r>
      <w:hyperlink r:id="rId190">
        <w:r>
          <w:rPr>
            <w:rFonts w:ascii="Arial" w:cs="Arial" w:eastAsia="Arial" w:hAnsi="Arial"/>
            <w:sz w:val="11"/>
            <w:szCs w:val="11"/>
            <w:u w:val="single" w:color="auto"/>
            <w:color w:val="0000EE"/>
          </w:rPr>
          <w:t>Form of Lock-Up Agreement.</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10.34</w:t>
      </w:r>
      <w:r>
        <w:rPr>
          <w:sz w:val="20"/>
          <w:szCs w:val="20"/>
          <w:color w:val="auto"/>
        </w:rPr>
        <w:tab/>
      </w:r>
      <w:hyperlink r:id="rId191">
        <w:r>
          <w:rPr>
            <w:rFonts w:ascii="Arial" w:cs="Arial" w:eastAsia="Arial" w:hAnsi="Arial"/>
            <w:sz w:val="10"/>
            <w:szCs w:val="10"/>
            <w:u w:val="single" w:color="auto"/>
            <w:color w:val="0000EE"/>
          </w:rPr>
          <w:t>Amendment No. 1 to Securities Purchase Agreement dated October 29, 2015.</w:t>
        </w:r>
      </w:hyperlink>
    </w:p>
    <w:p>
      <w:pPr>
        <w:spacing w:after="0" w:line="150" w:lineRule="exact"/>
        <w:rPr>
          <w:sz w:val="20"/>
          <w:szCs w:val="20"/>
          <w:color w:val="auto"/>
        </w:rPr>
      </w:pPr>
    </w:p>
    <w:p>
      <w:pPr>
        <w:ind w:left="280"/>
        <w:spacing w:after="0"/>
        <w:tabs>
          <w:tab w:leader="none" w:pos="860" w:val="left"/>
        </w:tabs>
        <w:rPr>
          <w:rFonts w:ascii="Arial" w:cs="Arial" w:eastAsia="Arial" w:hAnsi="Arial"/>
          <w:sz w:val="10"/>
          <w:szCs w:val="10"/>
          <w:u w:val="single" w:color="auto"/>
          <w:color w:val="0000EE"/>
        </w:rPr>
      </w:pPr>
      <w:r>
        <w:rPr>
          <w:rFonts w:ascii="Arial" w:cs="Arial" w:eastAsia="Arial" w:hAnsi="Arial"/>
          <w:sz w:val="12"/>
          <w:szCs w:val="12"/>
          <w:color w:val="auto"/>
        </w:rPr>
        <w:t>10.35</w:t>
      </w:r>
      <w:r>
        <w:rPr>
          <w:sz w:val="20"/>
          <w:szCs w:val="20"/>
          <w:color w:val="auto"/>
        </w:rPr>
        <w:tab/>
      </w:r>
      <w:hyperlink r:id="rId192">
        <w:r>
          <w:rPr>
            <w:rFonts w:ascii="Arial" w:cs="Arial" w:eastAsia="Arial" w:hAnsi="Arial"/>
            <w:sz w:val="10"/>
            <w:szCs w:val="10"/>
            <w:u w:val="single" w:color="auto"/>
            <w:color w:val="0000EE"/>
          </w:rPr>
          <w:t>Transfer and Distribution Agreement: United States: by and between Soleno Therapeutics, Inc. and Bemes, Inc.</w:t>
        </w:r>
      </w:hyperlink>
    </w:p>
    <w:p>
      <w:pPr>
        <w:spacing w:after="0" w:line="15" w:lineRule="exact"/>
        <w:rPr>
          <w:sz w:val="20"/>
          <w:szCs w:val="20"/>
          <w:color w:val="auto"/>
        </w:rPr>
      </w:pPr>
    </w:p>
    <w:p>
      <w:pPr>
        <w:ind w:left="880"/>
        <w:spacing w:after="0"/>
        <w:rPr>
          <w:rFonts w:ascii="Arial" w:cs="Arial" w:eastAsia="Arial" w:hAnsi="Arial"/>
          <w:sz w:val="12"/>
          <w:szCs w:val="12"/>
          <w:u w:val="single" w:color="auto"/>
          <w:color w:val="0000EE"/>
        </w:rPr>
      </w:pPr>
      <w:hyperlink r:id="rId192">
        <w:r>
          <w:rPr>
            <w:rFonts w:ascii="Arial" w:cs="Arial" w:eastAsia="Arial" w:hAnsi="Arial"/>
            <w:sz w:val="12"/>
            <w:szCs w:val="12"/>
            <w:u w:val="single" w:color="auto"/>
            <w:color w:val="0000EE"/>
          </w:rPr>
          <w:t>signed January 26, 2016.</w:t>
        </w:r>
      </w:hyperlink>
    </w:p>
    <w:p>
      <w:pPr>
        <w:spacing w:after="0" w:line="141" w:lineRule="exact"/>
        <w:rPr>
          <w:sz w:val="20"/>
          <w:szCs w:val="20"/>
          <w:color w:val="auto"/>
        </w:rPr>
      </w:pPr>
    </w:p>
    <w:p>
      <w:pPr>
        <w:jc w:val="right"/>
        <w:ind w:right="520"/>
        <w:spacing w:after="0"/>
        <w:tabs>
          <w:tab w:leader="none" w:pos="5340" w:val="left"/>
        </w:tabs>
        <w:rPr>
          <w:rFonts w:ascii="Arial" w:cs="Arial" w:eastAsia="Arial" w:hAnsi="Arial"/>
          <w:sz w:val="10"/>
          <w:szCs w:val="10"/>
          <w:u w:val="single" w:color="auto"/>
          <w:color w:val="0000EE"/>
        </w:rPr>
      </w:pPr>
      <w:r>
        <w:rPr>
          <w:rFonts w:ascii="Arial" w:cs="Arial" w:eastAsia="Arial" w:hAnsi="Arial"/>
          <w:sz w:val="12"/>
          <w:szCs w:val="12"/>
          <w:color w:val="auto"/>
        </w:rPr>
        <w:t>10.36</w:t>
      </w:r>
      <w:r>
        <w:rPr>
          <w:sz w:val="20"/>
          <w:szCs w:val="20"/>
          <w:color w:val="auto"/>
        </w:rPr>
        <w:tab/>
      </w:r>
      <w:hyperlink r:id="rId193">
        <w:r>
          <w:rPr>
            <w:rFonts w:ascii="Arial" w:cs="Arial" w:eastAsia="Arial" w:hAnsi="Arial"/>
            <w:sz w:val="10"/>
            <w:szCs w:val="10"/>
            <w:u w:val="single" w:color="auto"/>
            <w:color w:val="0000EE"/>
          </w:rPr>
          <w:t>Engagement Letter dated June 26, 2016, between Soleno Therapeutics, Inc. and Maxim Group, LLC.</w:t>
        </w:r>
      </w:hyperlink>
    </w:p>
    <w:p>
      <w:pPr>
        <w:spacing w:after="0" w:line="150" w:lineRule="exact"/>
        <w:rPr>
          <w:sz w:val="20"/>
          <w:szCs w:val="20"/>
          <w:color w:val="auto"/>
        </w:rPr>
      </w:pPr>
    </w:p>
    <w:p>
      <w:pPr>
        <w:jc w:val="right"/>
        <w:ind w:right="54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S-1/A</w:t>
            </w:r>
          </w:p>
        </w:tc>
        <w:tc>
          <w:tcPr>
            <w:tcW w:w="2140" w:type="dxa"/>
            <w:vAlign w:val="bottom"/>
          </w:tcPr>
          <w:p>
            <w:pPr>
              <w:ind w:left="480"/>
              <w:spacing w:after="0"/>
              <w:rPr>
                <w:sz w:val="20"/>
                <w:szCs w:val="20"/>
                <w:color w:val="auto"/>
              </w:rPr>
            </w:pPr>
            <w:r>
              <w:rPr>
                <w:rFonts w:ascii="Arial" w:cs="Arial" w:eastAsia="Arial" w:hAnsi="Arial"/>
                <w:sz w:val="12"/>
                <w:szCs w:val="12"/>
                <w:color w:val="auto"/>
              </w:rPr>
              <w:t>September 29, 2014</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3"/>
              </w:rPr>
              <w:t>10.21</w:t>
            </w:r>
          </w:p>
        </w:tc>
      </w:tr>
      <w:tr>
        <w:trPr>
          <w:trHeight w:val="432"/>
        </w:trPr>
        <w:tc>
          <w:tcPr>
            <w:tcW w:w="760" w:type="dxa"/>
            <w:vAlign w:val="bottom"/>
          </w:tcPr>
          <w:p>
            <w:pPr>
              <w:spacing w:after="0"/>
              <w:rPr>
                <w:sz w:val="20"/>
                <w:szCs w:val="20"/>
                <w:color w:val="auto"/>
              </w:rPr>
            </w:pPr>
            <w:r>
              <w:rPr>
                <w:rFonts w:ascii="Arial" w:cs="Arial" w:eastAsia="Arial" w:hAnsi="Arial"/>
                <w:sz w:val="12"/>
                <w:szCs w:val="12"/>
                <w:color w:val="auto"/>
              </w:rPr>
              <w:t>S-1/A</w:t>
            </w:r>
          </w:p>
        </w:tc>
        <w:tc>
          <w:tcPr>
            <w:tcW w:w="2140" w:type="dxa"/>
            <w:vAlign w:val="bottom"/>
          </w:tcPr>
          <w:p>
            <w:pPr>
              <w:ind w:left="480"/>
              <w:spacing w:after="0"/>
              <w:rPr>
                <w:sz w:val="20"/>
                <w:szCs w:val="20"/>
                <w:color w:val="auto"/>
              </w:rPr>
            </w:pPr>
            <w:r>
              <w:rPr>
                <w:rFonts w:ascii="Arial" w:cs="Arial" w:eastAsia="Arial" w:hAnsi="Arial"/>
                <w:sz w:val="12"/>
                <w:szCs w:val="12"/>
                <w:color w:val="auto"/>
              </w:rPr>
              <w:t>November 4, 2014</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3"/>
              </w:rPr>
              <w:t>10.22</w:t>
            </w:r>
          </w:p>
        </w:tc>
      </w:tr>
      <w:tr>
        <w:trPr>
          <w:trHeight w:val="432"/>
        </w:trPr>
        <w:tc>
          <w:tcPr>
            <w:tcW w:w="760" w:type="dxa"/>
            <w:vAlign w:val="bottom"/>
          </w:tcPr>
          <w:p>
            <w:pPr>
              <w:spacing w:after="0"/>
              <w:rPr>
                <w:sz w:val="20"/>
                <w:szCs w:val="20"/>
                <w:color w:val="auto"/>
              </w:rPr>
            </w:pPr>
            <w:r>
              <w:rPr>
                <w:rFonts w:ascii="Arial" w:cs="Arial" w:eastAsia="Arial" w:hAnsi="Arial"/>
                <w:sz w:val="12"/>
                <w:szCs w:val="12"/>
                <w:color w:val="auto"/>
              </w:rPr>
              <w:t>S-1/A</w:t>
            </w:r>
          </w:p>
        </w:tc>
        <w:tc>
          <w:tcPr>
            <w:tcW w:w="2140" w:type="dxa"/>
            <w:vAlign w:val="bottom"/>
          </w:tcPr>
          <w:p>
            <w:pPr>
              <w:ind w:left="480"/>
              <w:spacing w:after="0"/>
              <w:rPr>
                <w:sz w:val="20"/>
                <w:szCs w:val="20"/>
                <w:color w:val="auto"/>
              </w:rPr>
            </w:pPr>
            <w:r>
              <w:rPr>
                <w:rFonts w:ascii="Arial" w:cs="Arial" w:eastAsia="Arial" w:hAnsi="Arial"/>
                <w:sz w:val="12"/>
                <w:szCs w:val="12"/>
                <w:color w:val="auto"/>
              </w:rPr>
              <w:t>November 4, 2014</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3"/>
              </w:rPr>
              <w:t>10.23</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March 5,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S-4</w:t>
            </w:r>
          </w:p>
        </w:tc>
        <w:tc>
          <w:tcPr>
            <w:tcW w:w="2140" w:type="dxa"/>
            <w:vAlign w:val="bottom"/>
          </w:tcPr>
          <w:p>
            <w:pPr>
              <w:ind w:left="480"/>
              <w:spacing w:after="0"/>
              <w:rPr>
                <w:sz w:val="20"/>
                <w:szCs w:val="20"/>
                <w:color w:val="auto"/>
              </w:rPr>
            </w:pPr>
            <w:r>
              <w:rPr>
                <w:rFonts w:ascii="Arial" w:cs="Arial" w:eastAsia="Arial" w:hAnsi="Arial"/>
                <w:sz w:val="12"/>
                <w:szCs w:val="12"/>
                <w:color w:val="auto"/>
              </w:rPr>
              <w:t>April 1,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3"/>
              </w:rPr>
              <w:t>10.25</w:t>
            </w:r>
          </w:p>
        </w:tc>
      </w:tr>
      <w:tr>
        <w:trPr>
          <w:trHeight w:val="432"/>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July 7,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July 7,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10.2</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July 27,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5"/>
              </w:rPr>
              <w:t>4.1</w:t>
            </w:r>
          </w:p>
        </w:tc>
      </w:tr>
      <w:tr>
        <w:trPr>
          <w:trHeight w:val="432"/>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July 27,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October 15,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5"/>
              </w:rPr>
              <w:t>1.1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October 15,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October 15,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10.2</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October 15,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10.3</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S-1/A</w:t>
            </w:r>
          </w:p>
        </w:tc>
        <w:tc>
          <w:tcPr>
            <w:tcW w:w="2140" w:type="dxa"/>
            <w:vAlign w:val="bottom"/>
          </w:tcPr>
          <w:p>
            <w:pPr>
              <w:ind w:left="480"/>
              <w:spacing w:after="0"/>
              <w:rPr>
                <w:sz w:val="20"/>
                <w:szCs w:val="20"/>
                <w:color w:val="auto"/>
              </w:rPr>
            </w:pPr>
            <w:r>
              <w:rPr>
                <w:rFonts w:ascii="Arial" w:cs="Arial" w:eastAsia="Arial" w:hAnsi="Arial"/>
                <w:sz w:val="12"/>
                <w:szCs w:val="12"/>
                <w:color w:val="auto"/>
              </w:rPr>
              <w:t>December 22, 2015</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3"/>
              </w:rPr>
              <w:t>10.33</w:t>
            </w:r>
          </w:p>
        </w:tc>
      </w:tr>
      <w:tr>
        <w:trPr>
          <w:trHeight w:val="432"/>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January 28, 2016</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85"/>
              </w:rPr>
              <w:t>10.1</w:t>
            </w:r>
          </w:p>
        </w:tc>
      </w:tr>
      <w:tr>
        <w:trPr>
          <w:trHeight w:val="288"/>
        </w:trPr>
        <w:tc>
          <w:tcPr>
            <w:tcW w:w="760" w:type="dxa"/>
            <w:vAlign w:val="bottom"/>
          </w:tcPr>
          <w:p>
            <w:pPr>
              <w:spacing w:after="0"/>
              <w:rPr>
                <w:sz w:val="20"/>
                <w:szCs w:val="20"/>
                <w:color w:val="auto"/>
              </w:rPr>
            </w:pPr>
            <w:r>
              <w:rPr>
                <w:rFonts w:ascii="Arial" w:cs="Arial" w:eastAsia="Arial" w:hAnsi="Arial"/>
                <w:sz w:val="12"/>
                <w:szCs w:val="12"/>
                <w:color w:val="auto"/>
              </w:rPr>
              <w:t>8-K</w:t>
            </w:r>
          </w:p>
        </w:tc>
        <w:tc>
          <w:tcPr>
            <w:tcW w:w="2140" w:type="dxa"/>
            <w:vAlign w:val="bottom"/>
          </w:tcPr>
          <w:p>
            <w:pPr>
              <w:ind w:left="480"/>
              <w:spacing w:after="0"/>
              <w:rPr>
                <w:sz w:val="20"/>
                <w:szCs w:val="20"/>
                <w:color w:val="auto"/>
              </w:rPr>
            </w:pPr>
            <w:r>
              <w:rPr>
                <w:rFonts w:ascii="Arial" w:cs="Arial" w:eastAsia="Arial" w:hAnsi="Arial"/>
                <w:sz w:val="12"/>
                <w:szCs w:val="12"/>
                <w:color w:val="auto"/>
              </w:rPr>
              <w:t>July 6, 2016</w:t>
            </w:r>
          </w:p>
        </w:tc>
        <w:tc>
          <w:tcPr>
            <w:tcW w:w="980" w:type="dxa"/>
            <w:vAlign w:val="bottom"/>
          </w:tcPr>
          <w:p>
            <w:pPr>
              <w:jc w:val="center"/>
              <w:ind w:left="640"/>
              <w:spacing w:after="0"/>
              <w:rPr>
                <w:sz w:val="20"/>
                <w:szCs w:val="20"/>
                <w:color w:val="auto"/>
              </w:rPr>
            </w:pPr>
            <w:r>
              <w:rPr>
                <w:rFonts w:ascii="Arial" w:cs="Arial" w:eastAsia="Arial" w:hAnsi="Arial"/>
                <w:sz w:val="12"/>
                <w:szCs w:val="12"/>
                <w:color w:val="auto"/>
                <w:w w:val="95"/>
              </w:rPr>
              <w:t>1.1</w:t>
            </w:r>
          </w:p>
        </w:tc>
      </w:tr>
    </w:tbl>
    <w:p>
      <w:pPr>
        <w:sectPr>
          <w:pgSz w:w="11900" w:h="16838" w:orient="portrait"/>
          <w:cols w:equalWidth="0" w:num="2">
            <w:col w:w="6240" w:space="80"/>
            <w:col w:w="4980"/>
          </w:cols>
          <w:pgMar w:left="300" w:top="268" w:right="299" w:bottom="1440" w:gutter="0" w:footer="0" w:header="0"/>
          <w:type w:val="continuous"/>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Exhibit</w:t>
            </w:r>
          </w:p>
        </w:tc>
        <w:tc>
          <w:tcPr>
            <w:tcW w:w="5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w w:val="92"/>
              </w:rPr>
              <w:t>Incorporated by Reference from</w:t>
            </w: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80" w:type="dxa"/>
            <w:vAlign w:val="bottom"/>
            <w:gridSpan w:val="2"/>
            <w:vMerge w:val="continue"/>
          </w:tcPr>
          <w:p>
            <w:pPr>
              <w:spacing w:after="0"/>
              <w:rPr>
                <w:sz w:val="6"/>
                <w:szCs w:val="6"/>
                <w:color w:val="auto"/>
              </w:rPr>
            </w:pPr>
          </w:p>
        </w:tc>
        <w:tc>
          <w:tcPr>
            <w:tcW w:w="5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Registrant’s</w:t>
            </w:r>
          </w:p>
        </w:tc>
        <w:tc>
          <w:tcPr>
            <w:tcW w:w="216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Filed</w:t>
            </w:r>
          </w:p>
        </w:tc>
        <w:tc>
          <w:tcPr>
            <w:tcW w:w="0" w:type="dxa"/>
            <w:vAlign w:val="bottom"/>
          </w:tcPr>
          <w:p>
            <w:pPr>
              <w:spacing w:after="0"/>
              <w:rPr>
                <w:sz w:val="1"/>
                <w:szCs w:val="1"/>
                <w:color w:val="auto"/>
              </w:rPr>
            </w:pPr>
          </w:p>
        </w:tc>
      </w:tr>
      <w:tr>
        <w:trPr>
          <w:trHeight w:val="113"/>
        </w:trPr>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5400" w:type="dxa"/>
            <w:vAlign w:val="bottom"/>
            <w:tcBorders>
              <w:bottom w:val="single" w:sz="8" w:color="auto"/>
            </w:tcBorders>
          </w:tcPr>
          <w:p>
            <w:pPr>
              <w:ind w:left="2240"/>
              <w:spacing w:after="0" w:line="114" w:lineRule="exact"/>
              <w:rPr>
                <w:sz w:val="20"/>
                <w:szCs w:val="20"/>
                <w:color w:val="auto"/>
              </w:rPr>
            </w:pPr>
            <w:r>
              <w:rPr>
                <w:rFonts w:ascii="Arial" w:cs="Arial" w:eastAsia="Arial" w:hAnsi="Arial"/>
                <w:sz w:val="10"/>
                <w:szCs w:val="10"/>
                <w:b w:val="1"/>
                <w:bCs w:val="1"/>
                <w:color w:val="auto"/>
              </w:rPr>
              <w:t>Description of Document</w:t>
            </w:r>
          </w:p>
        </w:tc>
        <w:tc>
          <w:tcPr>
            <w:tcW w:w="40" w:type="dxa"/>
            <w:vAlign w:val="bottom"/>
          </w:tcPr>
          <w:p>
            <w:pPr>
              <w:spacing w:after="0"/>
              <w:rPr>
                <w:sz w:val="9"/>
                <w:szCs w:val="9"/>
                <w:color w:val="auto"/>
              </w:rPr>
            </w:pPr>
          </w:p>
        </w:tc>
        <w:tc>
          <w:tcPr>
            <w:tcW w:w="11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Form</w:t>
            </w:r>
          </w:p>
        </w:tc>
        <w:tc>
          <w:tcPr>
            <w:tcW w:w="40" w:type="dxa"/>
            <w:vAlign w:val="bottom"/>
          </w:tcPr>
          <w:p>
            <w:pPr>
              <w:spacing w:after="0"/>
              <w:rPr>
                <w:sz w:val="9"/>
                <w:szCs w:val="9"/>
                <w:color w:val="auto"/>
              </w:rPr>
            </w:pPr>
          </w:p>
        </w:tc>
        <w:tc>
          <w:tcPr>
            <w:tcW w:w="21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00"/>
          </w:cols>
          <w:pgMar w:left="300" w:top="268" w:right="299" w:bottom="1440" w:gutter="0" w:footer="0" w:header="0"/>
        </w:sectPr>
      </w:pPr>
    </w:p>
    <w:tbl>
      <w:tblPr>
        <w:tblLayout w:type="fixed"/>
        <w:tblInd w:w="280" w:type="dxa"/>
        <w:tblCellMar>
          <w:top w:w="0" w:type="dxa"/>
          <w:left w:w="0" w:type="dxa"/>
          <w:bottom w:w="0" w:type="dxa"/>
          <w:right w:w="0" w:type="dxa"/>
        </w:tblCellMar>
      </w:tblPr>
      <w:tr>
        <w:trPr>
          <w:trHeight w:val="153"/>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10.37</w:t>
            </w:r>
          </w:p>
        </w:tc>
        <w:tc>
          <w:tcPr>
            <w:tcW w:w="5420" w:type="dxa"/>
            <w:vAlign w:val="bottom"/>
            <w:gridSpan w:val="15"/>
          </w:tcPr>
          <w:p>
            <w:pPr>
              <w:spacing w:after="0"/>
              <w:rPr>
                <w:rFonts w:ascii="Arial" w:cs="Arial" w:eastAsia="Arial" w:hAnsi="Arial"/>
                <w:sz w:val="12"/>
                <w:szCs w:val="12"/>
                <w:u w:val="single" w:color="auto"/>
                <w:color w:val="0000EE"/>
              </w:rPr>
            </w:pPr>
            <w:hyperlink r:id="rId195">
              <w:r>
                <w:rPr>
                  <w:rFonts w:ascii="Arial" w:cs="Arial" w:eastAsia="Arial" w:hAnsi="Arial"/>
                  <w:sz w:val="12"/>
                  <w:szCs w:val="12"/>
                  <w:u w:val="single" w:color="auto"/>
                  <w:color w:val="0000EE"/>
                </w:rPr>
                <w:t>Securities Purchase Agreement dated June 29, 2016.</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8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10.38</w:t>
            </w:r>
          </w:p>
        </w:tc>
        <w:tc>
          <w:tcPr>
            <w:tcW w:w="5420" w:type="dxa"/>
            <w:vAlign w:val="bottom"/>
            <w:gridSpan w:val="15"/>
          </w:tcPr>
          <w:p>
            <w:pPr>
              <w:spacing w:after="0"/>
              <w:rPr>
                <w:rFonts w:ascii="Arial" w:cs="Arial" w:eastAsia="Arial" w:hAnsi="Arial"/>
                <w:sz w:val="12"/>
                <w:szCs w:val="12"/>
                <w:u w:val="single" w:color="auto"/>
                <w:color w:val="0000EE"/>
              </w:rPr>
            </w:pPr>
            <w:hyperlink r:id="rId196">
              <w:r>
                <w:rPr>
                  <w:rFonts w:ascii="Arial" w:cs="Arial" w:eastAsia="Arial" w:hAnsi="Arial"/>
                  <w:sz w:val="12"/>
                  <w:szCs w:val="12"/>
                  <w:u w:val="single" w:color="auto"/>
                  <w:color w:val="0000EE"/>
                </w:rPr>
                <w:t>Form of Registration Rights Agreement dated June 29, 2016.</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8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10.39</w:t>
            </w:r>
          </w:p>
        </w:tc>
        <w:tc>
          <w:tcPr>
            <w:tcW w:w="5420" w:type="dxa"/>
            <w:vAlign w:val="bottom"/>
            <w:gridSpan w:val="15"/>
          </w:tcPr>
          <w:p>
            <w:pPr>
              <w:spacing w:after="0"/>
              <w:rPr>
                <w:rFonts w:ascii="Arial" w:cs="Arial" w:eastAsia="Arial" w:hAnsi="Arial"/>
                <w:sz w:val="12"/>
                <w:szCs w:val="12"/>
                <w:u w:val="single" w:color="auto"/>
                <w:color w:val="0000EE"/>
              </w:rPr>
            </w:pPr>
            <w:hyperlink r:id="rId197">
              <w:r>
                <w:rPr>
                  <w:rFonts w:ascii="Arial" w:cs="Arial" w:eastAsia="Arial" w:hAnsi="Arial"/>
                  <w:sz w:val="12"/>
                  <w:szCs w:val="12"/>
                  <w:u w:val="single" w:color="auto"/>
                  <w:color w:val="0000EE"/>
                </w:rPr>
                <w:t>Amendment No. 1 to Securities Purchase Agreement dated September 20, 2016.</w:t>
              </w:r>
            </w:hyperlink>
          </w:p>
        </w:tc>
        <w:tc>
          <w:tcPr>
            <w:tcW w:w="340" w:type="dxa"/>
            <w:vAlign w:val="bottom"/>
          </w:tcPr>
          <w:p>
            <w:pPr>
              <w:ind w:left="60"/>
              <w:spacing w:after="0"/>
              <w:rPr>
                <w:sz w:val="20"/>
                <w:szCs w:val="20"/>
                <w:color w:val="auto"/>
              </w:rPr>
            </w:pPr>
            <w:r>
              <w:rPr>
                <w:rFonts w:ascii="Arial" w:cs="Arial" w:eastAsia="Arial" w:hAnsi="Arial"/>
                <w:sz w:val="12"/>
                <w:szCs w:val="12"/>
                <w:color w:val="auto"/>
                <w:w w:val="86"/>
              </w:rPr>
              <w:t>S-1/A</w:t>
            </w:r>
          </w:p>
        </w:tc>
      </w:tr>
      <w:tr>
        <w:trPr>
          <w:trHeight w:val="261"/>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10.40</w:t>
            </w:r>
          </w:p>
        </w:tc>
        <w:tc>
          <w:tcPr>
            <w:tcW w:w="5140" w:type="dxa"/>
            <w:vAlign w:val="bottom"/>
            <w:tcBorders>
              <w:bottom w:val="single" w:sz="8" w:color="0000EE"/>
            </w:tcBorders>
            <w:gridSpan w:val="9"/>
          </w:tcPr>
          <w:p>
            <w:pPr>
              <w:spacing w:after="0"/>
              <w:rPr>
                <w:rFonts w:ascii="Arial" w:cs="Arial" w:eastAsia="Arial" w:hAnsi="Arial"/>
                <w:sz w:val="12"/>
                <w:szCs w:val="12"/>
                <w:color w:val="0000EE"/>
                <w:w w:val="89"/>
              </w:rPr>
            </w:pPr>
            <w:hyperlink r:id="rId198">
              <w:r>
                <w:rPr>
                  <w:rFonts w:ascii="Arial" w:cs="Arial" w:eastAsia="Arial" w:hAnsi="Arial"/>
                  <w:sz w:val="12"/>
                  <w:szCs w:val="12"/>
                  <w:color w:val="0000EE"/>
                  <w:w w:val="89"/>
                </w:rPr>
                <w:t>Agreement and Plan of Merger and Reorganization, dated as of December 22, 2016, by and among Soleno</w:t>
              </w:r>
            </w:hyperlink>
          </w:p>
        </w:tc>
        <w:tc>
          <w:tcPr>
            <w:tcW w:w="28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24"/>
        </w:trPr>
        <w:tc>
          <w:tcPr>
            <w:tcW w:w="600" w:type="dxa"/>
            <w:vAlign w:val="bottom"/>
          </w:tcPr>
          <w:p>
            <w:pPr>
              <w:spacing w:after="0"/>
              <w:rPr>
                <w:sz w:val="10"/>
                <w:szCs w:val="10"/>
                <w:color w:val="auto"/>
              </w:rPr>
            </w:pPr>
          </w:p>
        </w:tc>
        <w:tc>
          <w:tcPr>
            <w:tcW w:w="5340" w:type="dxa"/>
            <w:vAlign w:val="bottom"/>
            <w:tcBorders>
              <w:bottom w:val="single" w:sz="8" w:color="0000EE"/>
            </w:tcBorders>
            <w:gridSpan w:val="13"/>
          </w:tcPr>
          <w:p>
            <w:pPr>
              <w:spacing w:after="0" w:line="124" w:lineRule="exact"/>
              <w:rPr>
                <w:rFonts w:ascii="Arial" w:cs="Arial" w:eastAsia="Arial" w:hAnsi="Arial"/>
                <w:sz w:val="12"/>
                <w:szCs w:val="12"/>
                <w:color w:val="0000EE"/>
                <w:w w:val="90"/>
              </w:rPr>
            </w:pPr>
            <w:hyperlink r:id="rId198">
              <w:r>
                <w:rPr>
                  <w:rFonts w:ascii="Arial" w:cs="Arial" w:eastAsia="Arial" w:hAnsi="Arial"/>
                  <w:sz w:val="12"/>
                  <w:szCs w:val="12"/>
                  <w:color w:val="0000EE"/>
                  <w:w w:val="90"/>
                </w:rPr>
                <w:t>Therapeutics, Inc., a Delaware corporation, Essentialis, Inc., a Delaware corporation, Company E Merger Sub,</w:t>
              </w:r>
            </w:hyperlink>
          </w:p>
        </w:tc>
        <w:tc>
          <w:tcPr>
            <w:tcW w:w="8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r>
      <w:tr>
        <w:trPr>
          <w:trHeight w:val="124"/>
        </w:trPr>
        <w:tc>
          <w:tcPr>
            <w:tcW w:w="600" w:type="dxa"/>
            <w:vAlign w:val="bottom"/>
          </w:tcPr>
          <w:p>
            <w:pPr>
              <w:spacing w:after="0"/>
              <w:rPr>
                <w:sz w:val="10"/>
                <w:szCs w:val="10"/>
                <w:color w:val="auto"/>
              </w:rPr>
            </w:pPr>
          </w:p>
        </w:tc>
        <w:tc>
          <w:tcPr>
            <w:tcW w:w="5420" w:type="dxa"/>
            <w:vAlign w:val="bottom"/>
            <w:gridSpan w:val="15"/>
          </w:tcPr>
          <w:p>
            <w:pPr>
              <w:spacing w:after="0" w:line="124" w:lineRule="exact"/>
              <w:rPr>
                <w:rFonts w:ascii="Arial" w:cs="Arial" w:eastAsia="Arial" w:hAnsi="Arial"/>
                <w:sz w:val="12"/>
                <w:szCs w:val="12"/>
                <w:color w:val="0000EE"/>
                <w:w w:val="94"/>
              </w:rPr>
            </w:pPr>
            <w:hyperlink r:id="rId198">
              <w:r>
                <w:rPr>
                  <w:rFonts w:ascii="Arial" w:cs="Arial" w:eastAsia="Arial" w:hAnsi="Arial"/>
                  <w:sz w:val="12"/>
                  <w:szCs w:val="12"/>
                  <w:color w:val="0000EE"/>
                  <w:w w:val="94"/>
                </w:rPr>
                <w:t>Inc., a Delaware corporation and a wholly-owned subsidiary of Soleno Therapeutics, and Neil Cowen as the</w:t>
              </w:r>
            </w:hyperlink>
          </w:p>
        </w:tc>
        <w:tc>
          <w:tcPr>
            <w:tcW w:w="340" w:type="dxa"/>
            <w:vAlign w:val="bottom"/>
          </w:tcPr>
          <w:p>
            <w:pPr>
              <w:spacing w:after="0"/>
              <w:rPr>
                <w:sz w:val="10"/>
                <w:szCs w:val="10"/>
                <w:color w:val="auto"/>
              </w:rPr>
            </w:pPr>
          </w:p>
        </w:tc>
      </w:tr>
      <w:tr>
        <w:trPr>
          <w:trHeight w:val="124"/>
        </w:trPr>
        <w:tc>
          <w:tcPr>
            <w:tcW w:w="600" w:type="dxa"/>
            <w:vAlign w:val="bottom"/>
          </w:tcPr>
          <w:p>
            <w:pPr>
              <w:spacing w:after="0"/>
              <w:rPr>
                <w:sz w:val="10"/>
                <w:szCs w:val="10"/>
                <w:color w:val="auto"/>
              </w:rPr>
            </w:pPr>
          </w:p>
        </w:tc>
        <w:tc>
          <w:tcPr>
            <w:tcW w:w="138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9"/>
              </w:rPr>
            </w:pPr>
            <w:hyperlink r:id="rId198">
              <w:r>
                <w:rPr>
                  <w:rFonts w:ascii="Arial" w:cs="Arial" w:eastAsia="Arial" w:hAnsi="Arial"/>
                  <w:sz w:val="12"/>
                  <w:szCs w:val="12"/>
                  <w:color w:val="0000EE"/>
                  <w:w w:val="89"/>
                </w:rPr>
                <w:t>stockholders’ representative.</w:t>
              </w:r>
            </w:hyperlink>
          </w:p>
        </w:tc>
        <w:tc>
          <w:tcPr>
            <w:tcW w:w="3800" w:type="dxa"/>
            <w:vAlign w:val="bottom"/>
            <w:tcBorders>
              <w:top w:val="single" w:sz="8" w:color="0000EE"/>
            </w:tcBorders>
            <w:gridSpan w:val="6"/>
          </w:tcPr>
          <w:p>
            <w:pPr>
              <w:spacing w:after="0"/>
              <w:rPr>
                <w:sz w:val="10"/>
                <w:szCs w:val="10"/>
                <w:color w:val="auto"/>
              </w:rPr>
            </w:pPr>
          </w:p>
        </w:tc>
        <w:tc>
          <w:tcPr>
            <w:tcW w:w="240" w:type="dxa"/>
            <w:vAlign w:val="bottom"/>
            <w:gridSpan w:val="5"/>
          </w:tcPr>
          <w:p>
            <w:pPr>
              <w:spacing w:after="0"/>
              <w:rPr>
                <w:sz w:val="10"/>
                <w:szCs w:val="10"/>
                <w:color w:val="auto"/>
              </w:rPr>
            </w:pPr>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8-K</w:t>
            </w:r>
          </w:p>
        </w:tc>
      </w:tr>
      <w:tr>
        <w:trPr>
          <w:trHeight w:val="295"/>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10.41</w:t>
            </w:r>
          </w:p>
        </w:tc>
        <w:tc>
          <w:tcPr>
            <w:tcW w:w="5420" w:type="dxa"/>
            <w:vAlign w:val="bottom"/>
            <w:gridSpan w:val="15"/>
          </w:tcPr>
          <w:p>
            <w:pPr>
              <w:spacing w:after="0"/>
              <w:rPr>
                <w:rFonts w:ascii="Arial" w:cs="Arial" w:eastAsia="Arial" w:hAnsi="Arial"/>
                <w:sz w:val="12"/>
                <w:szCs w:val="12"/>
                <w:u w:val="single" w:color="auto"/>
                <w:color w:val="0000EE"/>
                <w:w w:val="92"/>
              </w:rPr>
            </w:pPr>
            <w:hyperlink r:id="rId199">
              <w:r>
                <w:rPr>
                  <w:rFonts w:ascii="Arial" w:cs="Arial" w:eastAsia="Arial" w:hAnsi="Arial"/>
                  <w:sz w:val="12"/>
                  <w:szCs w:val="12"/>
                  <w:u w:val="single" w:color="auto"/>
                  <w:color w:val="0000EE"/>
                  <w:w w:val="92"/>
                </w:rPr>
                <w:t>Registration Rights Agreement between the Company and Aspire Capital Fund, LLC, dated January 27, 2017.</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S-1</w:t>
            </w:r>
          </w:p>
        </w:tc>
      </w:tr>
      <w:tr>
        <w:trPr>
          <w:trHeight w:val="261"/>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10.42</w:t>
            </w:r>
          </w:p>
        </w:tc>
        <w:tc>
          <w:tcPr>
            <w:tcW w:w="5420" w:type="dxa"/>
            <w:vAlign w:val="bottom"/>
            <w:gridSpan w:val="15"/>
          </w:tcPr>
          <w:p>
            <w:pPr>
              <w:spacing w:after="0"/>
              <w:rPr>
                <w:rFonts w:ascii="Arial" w:cs="Arial" w:eastAsia="Arial" w:hAnsi="Arial"/>
                <w:sz w:val="12"/>
                <w:szCs w:val="12"/>
                <w:color w:val="0000EE"/>
                <w:w w:val="92"/>
              </w:rPr>
            </w:pPr>
            <w:hyperlink r:id="rId200">
              <w:r>
                <w:rPr>
                  <w:rFonts w:ascii="Arial" w:cs="Arial" w:eastAsia="Arial" w:hAnsi="Arial"/>
                  <w:sz w:val="12"/>
                  <w:szCs w:val="12"/>
                  <w:color w:val="0000EE"/>
                  <w:w w:val="92"/>
                </w:rPr>
                <w:t>Common Stock Purchase Agreement between the Company and Aspire Capital Fund, LLC, dated January 27,</w:t>
              </w:r>
            </w:hyperlink>
          </w:p>
        </w:tc>
        <w:tc>
          <w:tcPr>
            <w:tcW w:w="340" w:type="dxa"/>
            <w:vAlign w:val="bottom"/>
          </w:tcPr>
          <w:p>
            <w:pPr>
              <w:spacing w:after="0"/>
              <w:rPr>
                <w:sz w:val="22"/>
                <w:szCs w:val="22"/>
                <w:color w:val="auto"/>
              </w:rPr>
            </w:pPr>
          </w:p>
        </w:tc>
      </w:tr>
      <w:tr>
        <w:trPr>
          <w:trHeight w:val="124"/>
        </w:trPr>
        <w:tc>
          <w:tcPr>
            <w:tcW w:w="600" w:type="dxa"/>
            <w:vAlign w:val="bottom"/>
          </w:tcPr>
          <w:p>
            <w:pPr>
              <w:spacing w:after="0"/>
              <w:rPr>
                <w:sz w:val="10"/>
                <w:szCs w:val="10"/>
                <w:color w:val="auto"/>
              </w:rPr>
            </w:pPr>
          </w:p>
        </w:tc>
        <w:tc>
          <w:tcPr>
            <w:tcW w:w="2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79"/>
              </w:rPr>
            </w:pPr>
            <w:hyperlink r:id="rId200">
              <w:r>
                <w:rPr>
                  <w:rFonts w:ascii="Arial" w:cs="Arial" w:eastAsia="Arial" w:hAnsi="Arial"/>
                  <w:sz w:val="12"/>
                  <w:szCs w:val="12"/>
                  <w:color w:val="0000EE"/>
                  <w:w w:val="79"/>
                </w:rPr>
                <w:t>2017.</w:t>
              </w:r>
            </w:hyperlink>
          </w:p>
        </w:tc>
        <w:tc>
          <w:tcPr>
            <w:tcW w:w="20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34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S-1</w:t>
            </w:r>
          </w:p>
        </w:tc>
      </w:tr>
      <w:tr>
        <w:trPr>
          <w:trHeight w:val="26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10.43</w:t>
            </w:r>
          </w:p>
        </w:tc>
        <w:tc>
          <w:tcPr>
            <w:tcW w:w="5040" w:type="dxa"/>
            <w:vAlign w:val="bottom"/>
            <w:tcBorders>
              <w:bottom w:val="single" w:sz="8" w:color="0000EE"/>
            </w:tcBorders>
            <w:gridSpan w:val="7"/>
          </w:tcPr>
          <w:p>
            <w:pPr>
              <w:spacing w:after="0"/>
              <w:rPr>
                <w:rFonts w:ascii="Arial" w:cs="Arial" w:eastAsia="Arial" w:hAnsi="Arial"/>
                <w:sz w:val="12"/>
                <w:szCs w:val="12"/>
                <w:color w:val="0000EE"/>
                <w:w w:val="89"/>
              </w:rPr>
            </w:pPr>
            <w:hyperlink r:id="rId112">
              <w:r>
                <w:rPr>
                  <w:rFonts w:ascii="Arial" w:cs="Arial" w:eastAsia="Arial" w:hAnsi="Arial"/>
                  <w:sz w:val="12"/>
                  <w:szCs w:val="12"/>
                  <w:color w:val="0000EE"/>
                  <w:w w:val="89"/>
                </w:rPr>
                <w:t>Stock Purchase Agreement made by and between the Company and NeoForce Holdings, Inc. a Delaware</w:t>
              </w:r>
            </w:hyperlink>
          </w:p>
        </w:tc>
        <w:tc>
          <w:tcPr>
            <w:tcW w:w="380" w:type="dxa"/>
            <w:vAlign w:val="bottom"/>
            <w:gridSpan w:val="8"/>
          </w:tcPr>
          <w:p>
            <w:pPr>
              <w:spacing w:after="0"/>
              <w:rPr>
                <w:sz w:val="23"/>
                <w:szCs w:val="23"/>
                <w:color w:val="auto"/>
              </w:rPr>
            </w:pPr>
          </w:p>
        </w:tc>
        <w:tc>
          <w:tcPr>
            <w:tcW w:w="340" w:type="dxa"/>
            <w:vAlign w:val="bottom"/>
          </w:tcPr>
          <w:p>
            <w:pPr>
              <w:spacing w:after="0"/>
              <w:rPr>
                <w:sz w:val="23"/>
                <w:szCs w:val="23"/>
                <w:color w:val="auto"/>
              </w:rPr>
            </w:pPr>
          </w:p>
        </w:tc>
      </w:tr>
      <w:tr>
        <w:trPr>
          <w:trHeight w:val="124"/>
        </w:trPr>
        <w:tc>
          <w:tcPr>
            <w:tcW w:w="600" w:type="dxa"/>
            <w:vAlign w:val="bottom"/>
          </w:tcPr>
          <w:p>
            <w:pPr>
              <w:spacing w:after="0"/>
              <w:rPr>
                <w:sz w:val="10"/>
                <w:szCs w:val="10"/>
                <w:color w:val="auto"/>
              </w:rPr>
            </w:pPr>
          </w:p>
        </w:tc>
        <w:tc>
          <w:tcPr>
            <w:tcW w:w="15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r:id="rId112">
              <w:r>
                <w:rPr>
                  <w:rFonts w:ascii="Arial" w:cs="Arial" w:eastAsia="Arial" w:hAnsi="Arial"/>
                  <w:sz w:val="12"/>
                  <w:szCs w:val="12"/>
                  <w:color w:val="0000EE"/>
                  <w:w w:val="89"/>
                </w:rPr>
                <w:t>corporation dated July 18, 2017</w:t>
              </w:r>
            </w:hyperlink>
          </w:p>
        </w:tc>
        <w:tc>
          <w:tcPr>
            <w:tcW w:w="3900" w:type="dxa"/>
            <w:vAlign w:val="bottom"/>
            <w:gridSpan w:val="10"/>
          </w:tcPr>
          <w:p>
            <w:pPr>
              <w:spacing w:after="0"/>
              <w:rPr>
                <w:sz w:val="10"/>
                <w:szCs w:val="10"/>
                <w:color w:val="auto"/>
              </w:rPr>
            </w:pPr>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8-K</w:t>
            </w:r>
          </w:p>
        </w:tc>
      </w:tr>
      <w:tr>
        <w:trPr>
          <w:trHeight w:val="26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10.44</w:t>
            </w:r>
          </w:p>
        </w:tc>
        <w:tc>
          <w:tcPr>
            <w:tcW w:w="5420" w:type="dxa"/>
            <w:vAlign w:val="bottom"/>
            <w:gridSpan w:val="15"/>
          </w:tcPr>
          <w:p>
            <w:pPr>
              <w:spacing w:after="0"/>
              <w:rPr>
                <w:rFonts w:ascii="Arial" w:cs="Arial" w:eastAsia="Arial" w:hAnsi="Arial"/>
                <w:sz w:val="12"/>
                <w:szCs w:val="12"/>
                <w:color w:val="0000EE"/>
                <w:w w:val="91"/>
              </w:rPr>
            </w:pPr>
            <w:hyperlink r:id="rId113">
              <w:r>
                <w:rPr>
                  <w:rFonts w:ascii="Arial" w:cs="Arial" w:eastAsia="Arial" w:hAnsi="Arial"/>
                  <w:sz w:val="12"/>
                  <w:szCs w:val="12"/>
                  <w:color w:val="0000EE"/>
                  <w:w w:val="91"/>
                </w:rPr>
                <w:t>Joint Venture Agreement dated as of December 4, 2017 by and among Soleno Therapeutics, Inc., Capnia, Inc.,</w:t>
              </w:r>
            </w:hyperlink>
          </w:p>
        </w:tc>
        <w:tc>
          <w:tcPr>
            <w:tcW w:w="340" w:type="dxa"/>
            <w:vAlign w:val="bottom"/>
          </w:tcPr>
          <w:p>
            <w:pPr>
              <w:spacing w:after="0"/>
              <w:rPr>
                <w:sz w:val="23"/>
                <w:szCs w:val="23"/>
                <w:color w:val="auto"/>
              </w:rPr>
            </w:pPr>
          </w:p>
        </w:tc>
      </w:tr>
      <w:tr>
        <w:trPr>
          <w:trHeight w:val="124"/>
        </w:trPr>
        <w:tc>
          <w:tcPr>
            <w:tcW w:w="600" w:type="dxa"/>
            <w:vAlign w:val="bottom"/>
          </w:tcPr>
          <w:p>
            <w:pPr>
              <w:spacing w:after="0"/>
              <w:rPr>
                <w:sz w:val="10"/>
                <w:szCs w:val="10"/>
                <w:color w:val="auto"/>
              </w:rPr>
            </w:pPr>
          </w:p>
        </w:tc>
        <w:tc>
          <w:tcPr>
            <w:tcW w:w="156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0"/>
              </w:rPr>
            </w:pPr>
            <w:hyperlink r:id="rId113">
              <w:r>
                <w:rPr>
                  <w:rFonts w:ascii="Arial" w:cs="Arial" w:eastAsia="Arial" w:hAnsi="Arial"/>
                  <w:sz w:val="12"/>
                  <w:szCs w:val="12"/>
                  <w:color w:val="0000EE"/>
                  <w:w w:val="90"/>
                </w:rPr>
                <w:t>and OptAsia Healthcare Limited</w:t>
              </w:r>
            </w:hyperlink>
          </w:p>
        </w:tc>
        <w:tc>
          <w:tcPr>
            <w:tcW w:w="3760" w:type="dxa"/>
            <w:vAlign w:val="bottom"/>
            <w:tcBorders>
              <w:top w:val="single" w:sz="8" w:color="0000EE"/>
            </w:tcBorders>
            <w:gridSpan w:val="6"/>
          </w:tcPr>
          <w:p>
            <w:pPr>
              <w:spacing w:after="0"/>
              <w:rPr>
                <w:sz w:val="10"/>
                <w:szCs w:val="10"/>
                <w:color w:val="auto"/>
              </w:rPr>
            </w:pPr>
          </w:p>
        </w:tc>
        <w:tc>
          <w:tcPr>
            <w:tcW w:w="100" w:type="dxa"/>
            <w:vAlign w:val="bottom"/>
            <w:gridSpan w:val="3"/>
          </w:tcPr>
          <w:p>
            <w:pPr>
              <w:spacing w:after="0"/>
              <w:rPr>
                <w:sz w:val="10"/>
                <w:szCs w:val="10"/>
                <w:color w:val="auto"/>
              </w:rPr>
            </w:pPr>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8-K</w:t>
            </w:r>
          </w:p>
        </w:tc>
      </w:tr>
      <w:tr>
        <w:trPr>
          <w:trHeight w:val="295"/>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10.45</w:t>
            </w:r>
          </w:p>
        </w:tc>
        <w:tc>
          <w:tcPr>
            <w:tcW w:w="5420" w:type="dxa"/>
            <w:vAlign w:val="bottom"/>
            <w:gridSpan w:val="15"/>
          </w:tcPr>
          <w:p>
            <w:pPr>
              <w:spacing w:after="0"/>
              <w:rPr>
                <w:rFonts w:ascii="Arial" w:cs="Arial" w:eastAsia="Arial" w:hAnsi="Arial"/>
                <w:sz w:val="12"/>
                <w:szCs w:val="12"/>
                <w:u w:val="single" w:color="auto"/>
                <w:color w:val="0000EE"/>
              </w:rPr>
            </w:pPr>
            <w:hyperlink r:id="rId201">
              <w:r>
                <w:rPr>
                  <w:rFonts w:ascii="Arial" w:cs="Arial" w:eastAsia="Arial" w:hAnsi="Arial"/>
                  <w:sz w:val="12"/>
                  <w:szCs w:val="12"/>
                  <w:u w:val="single" w:color="auto"/>
                  <w:color w:val="0000EE"/>
                </w:rPr>
                <w:t>Securities Purchase Agreement, dated as of December 11, 2017</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61"/>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10.46</w:t>
            </w:r>
          </w:p>
        </w:tc>
        <w:tc>
          <w:tcPr>
            <w:tcW w:w="5100" w:type="dxa"/>
            <w:vAlign w:val="bottom"/>
            <w:tcBorders>
              <w:bottom w:val="single" w:sz="8" w:color="0000EE"/>
            </w:tcBorders>
            <w:gridSpan w:val="8"/>
          </w:tcPr>
          <w:p>
            <w:pPr>
              <w:spacing w:after="0"/>
              <w:rPr>
                <w:rFonts w:ascii="Arial" w:cs="Arial" w:eastAsia="Arial" w:hAnsi="Arial"/>
                <w:sz w:val="12"/>
                <w:szCs w:val="12"/>
                <w:color w:val="0000EE"/>
                <w:w w:val="90"/>
              </w:rPr>
            </w:pPr>
            <w:hyperlink r:id="rId202">
              <w:r>
                <w:rPr>
                  <w:rFonts w:ascii="Arial" w:cs="Arial" w:eastAsia="Arial" w:hAnsi="Arial"/>
                  <w:sz w:val="12"/>
                  <w:szCs w:val="12"/>
                  <w:color w:val="0000EE"/>
                  <w:w w:val="90"/>
                </w:rPr>
                <w:t>Confidential Consulting Agreement, dated September 5, 2017 by and between FLG Partners, LLC and the</w:t>
              </w:r>
            </w:hyperlink>
          </w:p>
        </w:tc>
        <w:tc>
          <w:tcPr>
            <w:tcW w:w="32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124"/>
        </w:trPr>
        <w:tc>
          <w:tcPr>
            <w:tcW w:w="600" w:type="dxa"/>
            <w:vAlign w:val="bottom"/>
          </w:tcPr>
          <w:p>
            <w:pPr>
              <w:spacing w:after="0"/>
              <w:rPr>
                <w:sz w:val="10"/>
                <w:szCs w:val="10"/>
                <w:color w:val="auto"/>
              </w:rPr>
            </w:pPr>
          </w:p>
        </w:tc>
        <w:tc>
          <w:tcPr>
            <w:tcW w:w="5420" w:type="dxa"/>
            <w:vAlign w:val="bottom"/>
            <w:gridSpan w:val="15"/>
          </w:tcPr>
          <w:p>
            <w:pPr>
              <w:spacing w:after="0" w:line="124" w:lineRule="exact"/>
              <w:rPr>
                <w:rFonts w:ascii="Arial" w:cs="Arial" w:eastAsia="Arial" w:hAnsi="Arial"/>
                <w:sz w:val="12"/>
                <w:szCs w:val="12"/>
                <w:color w:val="0000EE"/>
              </w:rPr>
            </w:pPr>
            <w:hyperlink r:id="rId202">
              <w:r>
                <w:rPr>
                  <w:rFonts w:ascii="Arial" w:cs="Arial" w:eastAsia="Arial" w:hAnsi="Arial"/>
                  <w:sz w:val="12"/>
                  <w:szCs w:val="12"/>
                  <w:color w:val="0000EE"/>
                </w:rPr>
                <w:t>Company</w:t>
              </w:r>
            </w:hyperlink>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8-K</w:t>
            </w:r>
          </w:p>
        </w:tc>
      </w:tr>
      <w:tr>
        <w:trPr>
          <w:trHeight w:val="20"/>
        </w:trPr>
        <w:tc>
          <w:tcPr>
            <w:tcW w:w="6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5"/>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10.47</w:t>
            </w:r>
          </w:p>
        </w:tc>
        <w:tc>
          <w:tcPr>
            <w:tcW w:w="5420" w:type="dxa"/>
            <w:vAlign w:val="bottom"/>
            <w:gridSpan w:val="15"/>
          </w:tcPr>
          <w:p>
            <w:pPr>
              <w:spacing w:after="0"/>
              <w:rPr>
                <w:rFonts w:ascii="Arial" w:cs="Arial" w:eastAsia="Arial" w:hAnsi="Arial"/>
                <w:sz w:val="12"/>
                <w:szCs w:val="12"/>
                <w:u w:val="single" w:color="auto"/>
                <w:color w:val="0000EE"/>
              </w:rPr>
            </w:pPr>
            <w:hyperlink r:id="rId203">
              <w:r>
                <w:rPr>
                  <w:rFonts w:ascii="Arial" w:cs="Arial" w:eastAsia="Arial" w:hAnsi="Arial"/>
                  <w:sz w:val="12"/>
                  <w:szCs w:val="12"/>
                  <w:u w:val="single" w:color="auto"/>
                  <w:color w:val="0000EE"/>
                </w:rPr>
                <w:t>Securities Purchase Agreement, dated as of December 19, 2018</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8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10.48</w:t>
            </w:r>
          </w:p>
        </w:tc>
        <w:tc>
          <w:tcPr>
            <w:tcW w:w="5420" w:type="dxa"/>
            <w:vAlign w:val="bottom"/>
            <w:gridSpan w:val="15"/>
          </w:tcPr>
          <w:p>
            <w:pPr>
              <w:spacing w:after="0"/>
              <w:rPr>
                <w:rFonts w:ascii="Arial" w:cs="Arial" w:eastAsia="Arial" w:hAnsi="Arial"/>
                <w:sz w:val="12"/>
                <w:szCs w:val="12"/>
                <w:u w:val="single" w:color="auto"/>
                <w:color w:val="0000EE"/>
              </w:rPr>
            </w:pPr>
            <w:hyperlink r:id="rId204">
              <w:r>
                <w:rPr>
                  <w:rFonts w:ascii="Arial" w:cs="Arial" w:eastAsia="Arial" w:hAnsi="Arial"/>
                  <w:sz w:val="12"/>
                  <w:szCs w:val="12"/>
                  <w:u w:val="single" w:color="auto"/>
                  <w:color w:val="0000EE"/>
                </w:rPr>
                <w:t>Employment Agreement with Kristen Yen</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S-1</w:t>
            </w:r>
          </w:p>
        </w:tc>
      </w:tr>
      <w:tr>
        <w:trPr>
          <w:trHeight w:val="261"/>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10.49</w:t>
            </w:r>
          </w:p>
        </w:tc>
        <w:tc>
          <w:tcPr>
            <w:tcW w:w="5360" w:type="dxa"/>
            <w:vAlign w:val="bottom"/>
            <w:tcBorders>
              <w:bottom w:val="single" w:sz="8" w:color="0000EE"/>
            </w:tcBorders>
            <w:gridSpan w:val="14"/>
          </w:tcPr>
          <w:p>
            <w:pPr>
              <w:spacing w:after="0"/>
              <w:rPr>
                <w:rFonts w:ascii="Arial" w:cs="Arial" w:eastAsia="Arial" w:hAnsi="Arial"/>
                <w:sz w:val="12"/>
                <w:szCs w:val="12"/>
                <w:color w:val="0000EE"/>
                <w:w w:val="89"/>
              </w:rPr>
            </w:pPr>
            <w:hyperlink r:id="rId205">
              <w:r>
                <w:rPr>
                  <w:rFonts w:ascii="Arial" w:cs="Arial" w:eastAsia="Arial" w:hAnsi="Arial"/>
                  <w:sz w:val="12"/>
                  <w:szCs w:val="12"/>
                  <w:color w:val="0000EE"/>
                  <w:w w:val="89"/>
                </w:rPr>
                <w:t>Underwriting Agreement, dated as of June 24, 2020, by and between the Company and Guggenheim Securities,</w:t>
              </w:r>
            </w:hyperlink>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24"/>
        </w:trPr>
        <w:tc>
          <w:tcPr>
            <w:tcW w:w="600" w:type="dxa"/>
            <w:vAlign w:val="bottom"/>
          </w:tcPr>
          <w:p>
            <w:pPr>
              <w:spacing w:after="0"/>
              <w:rPr>
                <w:sz w:val="10"/>
                <w:szCs w:val="10"/>
                <w:color w:val="auto"/>
              </w:rPr>
            </w:pPr>
          </w:p>
        </w:tc>
        <w:tc>
          <w:tcPr>
            <w:tcW w:w="5420" w:type="dxa"/>
            <w:vAlign w:val="bottom"/>
            <w:gridSpan w:val="15"/>
          </w:tcPr>
          <w:p>
            <w:pPr>
              <w:spacing w:after="0" w:line="124" w:lineRule="exact"/>
              <w:rPr>
                <w:rFonts w:ascii="Arial" w:cs="Arial" w:eastAsia="Arial" w:hAnsi="Arial"/>
                <w:sz w:val="12"/>
                <w:szCs w:val="12"/>
                <w:color w:val="0000EE"/>
              </w:rPr>
            </w:pPr>
            <w:hyperlink r:id="rId205">
              <w:r>
                <w:rPr>
                  <w:rFonts w:ascii="Arial" w:cs="Arial" w:eastAsia="Arial" w:hAnsi="Arial"/>
                  <w:sz w:val="12"/>
                  <w:szCs w:val="12"/>
                  <w:color w:val="0000EE"/>
                </w:rPr>
                <w:t>LLC dated June 24, 2020</w:t>
              </w:r>
            </w:hyperlink>
          </w:p>
        </w:tc>
        <w:tc>
          <w:tcPr>
            <w:tcW w:w="340" w:type="dxa"/>
            <w:vAlign w:val="bottom"/>
          </w:tcPr>
          <w:p>
            <w:pPr>
              <w:ind w:left="60"/>
              <w:spacing w:after="0" w:line="124" w:lineRule="exact"/>
              <w:rPr>
                <w:sz w:val="20"/>
                <w:szCs w:val="20"/>
                <w:color w:val="auto"/>
              </w:rPr>
            </w:pPr>
            <w:r>
              <w:rPr>
                <w:rFonts w:ascii="Arial" w:cs="Arial" w:eastAsia="Arial" w:hAnsi="Arial"/>
                <w:sz w:val="12"/>
                <w:szCs w:val="12"/>
                <w:color w:val="auto"/>
              </w:rPr>
              <w:t>8-K</w:t>
            </w:r>
          </w:p>
        </w:tc>
      </w:tr>
      <w:tr>
        <w:trPr>
          <w:trHeight w:val="20"/>
        </w:trPr>
        <w:tc>
          <w:tcPr>
            <w:tcW w:w="6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22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5"/>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10.50</w:t>
            </w:r>
          </w:p>
        </w:tc>
        <w:tc>
          <w:tcPr>
            <w:tcW w:w="5420" w:type="dxa"/>
            <w:vAlign w:val="bottom"/>
            <w:gridSpan w:val="15"/>
          </w:tcPr>
          <w:p>
            <w:pPr>
              <w:spacing w:after="0"/>
              <w:rPr>
                <w:rFonts w:ascii="Arial" w:cs="Arial" w:eastAsia="Arial" w:hAnsi="Arial"/>
                <w:sz w:val="12"/>
                <w:szCs w:val="12"/>
                <w:u w:val="single" w:color="auto"/>
                <w:color w:val="0000EE"/>
              </w:rPr>
            </w:pPr>
            <w:hyperlink r:id="rId206">
              <w:r>
                <w:rPr>
                  <w:rFonts w:ascii="Arial" w:cs="Arial" w:eastAsia="Arial" w:hAnsi="Arial"/>
                  <w:sz w:val="12"/>
                  <w:szCs w:val="12"/>
                  <w:u w:val="single" w:color="auto"/>
                  <w:color w:val="0000EE"/>
                </w:rPr>
                <w:t>2020 Inducement Equity Incentive Plan and form of option agreement thereunuder</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88"/>
        </w:trPr>
        <w:tc>
          <w:tcPr>
            <w:tcW w:w="600" w:type="dxa"/>
            <w:vAlign w:val="bottom"/>
          </w:tcPr>
          <w:p>
            <w:pPr>
              <w:jc w:val="right"/>
              <w:ind w:right="260"/>
              <w:spacing w:after="0"/>
              <w:rPr>
                <w:sz w:val="20"/>
                <w:szCs w:val="20"/>
                <w:color w:val="auto"/>
              </w:rPr>
            </w:pPr>
            <w:r>
              <w:rPr>
                <w:rFonts w:ascii="Arial" w:cs="Arial" w:eastAsia="Arial" w:hAnsi="Arial"/>
                <w:sz w:val="12"/>
                <w:szCs w:val="12"/>
                <w:color w:val="auto"/>
                <w:w w:val="86"/>
              </w:rPr>
              <w:t>10.51</w:t>
            </w:r>
          </w:p>
        </w:tc>
        <w:tc>
          <w:tcPr>
            <w:tcW w:w="5420" w:type="dxa"/>
            <w:vAlign w:val="bottom"/>
            <w:gridSpan w:val="15"/>
          </w:tcPr>
          <w:p>
            <w:pPr>
              <w:spacing w:after="0"/>
              <w:rPr>
                <w:rFonts w:ascii="Arial" w:cs="Arial" w:eastAsia="Arial" w:hAnsi="Arial"/>
                <w:sz w:val="12"/>
                <w:szCs w:val="12"/>
                <w:u w:val="single" w:color="auto"/>
                <w:color w:val="0000EE"/>
                <w:w w:val="91"/>
              </w:rPr>
            </w:pPr>
            <w:hyperlink r:id="rId207">
              <w:r>
                <w:rPr>
                  <w:rFonts w:ascii="Arial" w:cs="Arial" w:eastAsia="Arial" w:hAnsi="Arial"/>
                  <w:sz w:val="12"/>
                  <w:szCs w:val="12"/>
                  <w:u w:val="single" w:color="auto"/>
                  <w:color w:val="0000EE"/>
                  <w:w w:val="91"/>
                </w:rPr>
                <w:t>Employment Agreement by and between the Company and James Mackaness, dated as of November 11, 2020</w:t>
              </w:r>
            </w:hyperlink>
          </w:p>
        </w:tc>
        <w:tc>
          <w:tcPr>
            <w:tcW w:w="340" w:type="dxa"/>
            <w:vAlign w:val="bottom"/>
          </w:tcPr>
          <w:p>
            <w:pPr>
              <w:ind w:left="60"/>
              <w:spacing w:after="0"/>
              <w:rPr>
                <w:sz w:val="20"/>
                <w:szCs w:val="20"/>
                <w:color w:val="auto"/>
              </w:rPr>
            </w:pPr>
            <w:r>
              <w:rPr>
                <w:rFonts w:ascii="Arial" w:cs="Arial" w:eastAsia="Arial" w:hAnsi="Arial"/>
                <w:sz w:val="12"/>
                <w:szCs w:val="12"/>
                <w:color w:val="auto"/>
              </w:rPr>
              <w:t>8-K</w:t>
            </w:r>
          </w:p>
        </w:tc>
      </w:tr>
      <w:tr>
        <w:trPr>
          <w:trHeight w:val="288"/>
        </w:trPr>
        <w:tc>
          <w:tcPr>
            <w:tcW w:w="600" w:type="dxa"/>
            <w:vAlign w:val="bottom"/>
          </w:tcPr>
          <w:p>
            <w:pPr>
              <w:spacing w:after="0"/>
              <w:rPr>
                <w:sz w:val="24"/>
                <w:szCs w:val="24"/>
                <w:color w:val="auto"/>
              </w:rPr>
            </w:pPr>
          </w:p>
        </w:tc>
        <w:tc>
          <w:tcPr>
            <w:tcW w:w="5040" w:type="dxa"/>
            <w:vAlign w:val="bottom"/>
            <w:gridSpan w:val="7"/>
          </w:tcPr>
          <w:p>
            <w:pPr>
              <w:ind w:left="4700"/>
              <w:spacing w:after="0"/>
              <w:rPr>
                <w:sz w:val="20"/>
                <w:szCs w:val="20"/>
                <w:color w:val="auto"/>
              </w:rPr>
            </w:pPr>
            <w:r>
              <w:rPr>
                <w:rFonts w:ascii="Arial" w:cs="Arial" w:eastAsia="Arial" w:hAnsi="Arial"/>
                <w:sz w:val="12"/>
                <w:szCs w:val="12"/>
                <w:color w:val="auto"/>
              </w:rPr>
              <w:t>95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8947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20"/>
                <w:szCs w:val="20"/>
                <w:color w:val="auto"/>
              </w:rPr>
            </w:pPr>
            <w:r>
              <w:rPr>
                <w:rFonts w:ascii="Arial" w:cs="Arial" w:eastAsia="Arial" w:hAnsi="Arial"/>
                <w:sz w:val="12"/>
                <w:szCs w:val="12"/>
                <w:color w:val="auto"/>
              </w:rPr>
              <w:t>July 6, 2016</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r>
        <w:trPr>
          <w:trHeight w:val="288"/>
        </w:trPr>
        <w:tc>
          <w:tcPr>
            <w:tcW w:w="1720" w:type="dxa"/>
            <w:vAlign w:val="bottom"/>
          </w:tcPr>
          <w:p>
            <w:pPr>
              <w:spacing w:after="0"/>
              <w:rPr>
                <w:sz w:val="20"/>
                <w:szCs w:val="20"/>
                <w:color w:val="auto"/>
              </w:rPr>
            </w:pPr>
            <w:r>
              <w:rPr>
                <w:rFonts w:ascii="Arial" w:cs="Arial" w:eastAsia="Arial" w:hAnsi="Arial"/>
                <w:sz w:val="12"/>
                <w:szCs w:val="12"/>
                <w:color w:val="auto"/>
              </w:rPr>
              <w:t>July 6, 2016</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10.2</w:t>
            </w:r>
          </w:p>
        </w:tc>
      </w:tr>
      <w:tr>
        <w:trPr>
          <w:trHeight w:val="288"/>
        </w:trPr>
        <w:tc>
          <w:tcPr>
            <w:tcW w:w="1720" w:type="dxa"/>
            <w:vAlign w:val="bottom"/>
          </w:tcPr>
          <w:p>
            <w:pPr>
              <w:spacing w:after="0"/>
              <w:rPr>
                <w:sz w:val="20"/>
                <w:szCs w:val="20"/>
                <w:color w:val="auto"/>
              </w:rPr>
            </w:pPr>
            <w:r>
              <w:rPr>
                <w:rFonts w:ascii="Arial" w:cs="Arial" w:eastAsia="Arial" w:hAnsi="Arial"/>
                <w:sz w:val="12"/>
                <w:szCs w:val="12"/>
                <w:color w:val="auto"/>
              </w:rPr>
              <w:t>September 20, 2016</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3"/>
              </w:rPr>
              <w:t>10.39</w:t>
            </w:r>
          </w:p>
        </w:tc>
      </w:tr>
      <w:tr>
        <w:trPr>
          <w:trHeight w:val="720"/>
        </w:trPr>
        <w:tc>
          <w:tcPr>
            <w:tcW w:w="1720" w:type="dxa"/>
            <w:vAlign w:val="bottom"/>
          </w:tcPr>
          <w:p>
            <w:pPr>
              <w:spacing w:after="0"/>
              <w:rPr>
                <w:sz w:val="20"/>
                <w:szCs w:val="20"/>
                <w:color w:val="auto"/>
              </w:rPr>
            </w:pPr>
            <w:r>
              <w:rPr>
                <w:rFonts w:ascii="Arial" w:cs="Arial" w:eastAsia="Arial" w:hAnsi="Arial"/>
                <w:sz w:val="12"/>
                <w:szCs w:val="12"/>
                <w:color w:val="auto"/>
              </w:rPr>
              <w:t>December 27, 2016</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5"/>
              </w:rPr>
              <w:t>2.1</w:t>
            </w:r>
          </w:p>
        </w:tc>
      </w:tr>
      <w:tr>
        <w:trPr>
          <w:trHeight w:val="288"/>
        </w:trPr>
        <w:tc>
          <w:tcPr>
            <w:tcW w:w="1720" w:type="dxa"/>
            <w:vAlign w:val="bottom"/>
          </w:tcPr>
          <w:p>
            <w:pPr>
              <w:spacing w:after="0"/>
              <w:rPr>
                <w:sz w:val="20"/>
                <w:szCs w:val="20"/>
                <w:color w:val="auto"/>
              </w:rPr>
            </w:pPr>
            <w:r>
              <w:rPr>
                <w:rFonts w:ascii="Arial" w:cs="Arial" w:eastAsia="Arial" w:hAnsi="Arial"/>
                <w:sz w:val="12"/>
                <w:szCs w:val="12"/>
                <w:color w:val="auto"/>
              </w:rPr>
              <w:t>February 1, 2017</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3"/>
              </w:rPr>
              <w:t>10.51</w:t>
            </w:r>
          </w:p>
        </w:tc>
      </w:tr>
      <w:tr>
        <w:trPr>
          <w:trHeight w:val="432"/>
        </w:trPr>
        <w:tc>
          <w:tcPr>
            <w:tcW w:w="1720" w:type="dxa"/>
            <w:vAlign w:val="bottom"/>
          </w:tcPr>
          <w:p>
            <w:pPr>
              <w:spacing w:after="0"/>
              <w:rPr>
                <w:sz w:val="20"/>
                <w:szCs w:val="20"/>
                <w:color w:val="auto"/>
              </w:rPr>
            </w:pPr>
            <w:r>
              <w:rPr>
                <w:rFonts w:ascii="Arial" w:cs="Arial" w:eastAsia="Arial" w:hAnsi="Arial"/>
                <w:sz w:val="12"/>
                <w:szCs w:val="12"/>
                <w:color w:val="auto"/>
              </w:rPr>
              <w:t>February 1, 2017</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3"/>
              </w:rPr>
              <w:t>10.52</w:t>
            </w:r>
          </w:p>
        </w:tc>
      </w:tr>
      <w:tr>
        <w:trPr>
          <w:trHeight w:val="432"/>
        </w:trPr>
        <w:tc>
          <w:tcPr>
            <w:tcW w:w="1720" w:type="dxa"/>
            <w:vAlign w:val="bottom"/>
          </w:tcPr>
          <w:p>
            <w:pPr>
              <w:spacing w:after="0"/>
              <w:rPr>
                <w:sz w:val="20"/>
                <w:szCs w:val="20"/>
                <w:color w:val="auto"/>
              </w:rPr>
            </w:pPr>
            <w:r>
              <w:rPr>
                <w:rFonts w:ascii="Arial" w:cs="Arial" w:eastAsia="Arial" w:hAnsi="Arial"/>
                <w:sz w:val="12"/>
                <w:szCs w:val="12"/>
                <w:color w:val="auto"/>
              </w:rPr>
              <w:t>July 24, 2017</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5"/>
              </w:rPr>
              <w:t>2.1</w:t>
            </w:r>
          </w:p>
        </w:tc>
      </w:tr>
      <w:tr>
        <w:trPr>
          <w:trHeight w:val="432"/>
        </w:trPr>
        <w:tc>
          <w:tcPr>
            <w:tcW w:w="1720" w:type="dxa"/>
            <w:vAlign w:val="bottom"/>
          </w:tcPr>
          <w:p>
            <w:pPr>
              <w:spacing w:after="0"/>
              <w:rPr>
                <w:sz w:val="20"/>
                <w:szCs w:val="20"/>
                <w:color w:val="auto"/>
              </w:rPr>
            </w:pPr>
            <w:r>
              <w:rPr>
                <w:rFonts w:ascii="Arial" w:cs="Arial" w:eastAsia="Arial" w:hAnsi="Arial"/>
                <w:sz w:val="12"/>
                <w:szCs w:val="12"/>
                <w:color w:val="auto"/>
              </w:rPr>
              <w:t>December 8, 2017</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5"/>
              </w:rPr>
              <w:t>2.1</w:t>
            </w:r>
          </w:p>
        </w:tc>
      </w:tr>
      <w:tr>
        <w:trPr>
          <w:trHeight w:val="288"/>
        </w:trPr>
        <w:tc>
          <w:tcPr>
            <w:tcW w:w="1720" w:type="dxa"/>
            <w:vAlign w:val="bottom"/>
          </w:tcPr>
          <w:p>
            <w:pPr>
              <w:spacing w:after="0"/>
              <w:rPr>
                <w:sz w:val="20"/>
                <w:szCs w:val="20"/>
                <w:color w:val="auto"/>
              </w:rPr>
            </w:pPr>
            <w:r>
              <w:rPr>
                <w:rFonts w:ascii="Arial" w:cs="Arial" w:eastAsia="Arial" w:hAnsi="Arial"/>
                <w:sz w:val="12"/>
                <w:szCs w:val="12"/>
                <w:color w:val="auto"/>
              </w:rPr>
              <w:t>December 13, 2017</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r>
        <w:trPr>
          <w:trHeight w:val="432"/>
        </w:trPr>
        <w:tc>
          <w:tcPr>
            <w:tcW w:w="1720" w:type="dxa"/>
            <w:vAlign w:val="bottom"/>
          </w:tcPr>
          <w:p>
            <w:pPr>
              <w:ind w:left="80"/>
              <w:spacing w:after="0"/>
              <w:rPr>
                <w:sz w:val="20"/>
                <w:szCs w:val="20"/>
                <w:color w:val="auto"/>
              </w:rPr>
            </w:pPr>
            <w:r>
              <w:rPr>
                <w:rFonts w:ascii="Arial" w:cs="Arial" w:eastAsia="Arial" w:hAnsi="Arial"/>
                <w:sz w:val="12"/>
                <w:szCs w:val="12"/>
                <w:color w:val="auto"/>
              </w:rPr>
              <w:t>June 4, 2018</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r>
        <w:trPr>
          <w:trHeight w:val="288"/>
        </w:trPr>
        <w:tc>
          <w:tcPr>
            <w:tcW w:w="1720" w:type="dxa"/>
            <w:vAlign w:val="bottom"/>
          </w:tcPr>
          <w:p>
            <w:pPr>
              <w:ind w:left="80"/>
              <w:spacing w:after="0"/>
              <w:rPr>
                <w:sz w:val="20"/>
                <w:szCs w:val="20"/>
                <w:color w:val="auto"/>
              </w:rPr>
            </w:pPr>
            <w:r>
              <w:rPr>
                <w:rFonts w:ascii="Arial" w:cs="Arial" w:eastAsia="Arial" w:hAnsi="Arial"/>
                <w:sz w:val="12"/>
                <w:szCs w:val="12"/>
                <w:color w:val="auto"/>
              </w:rPr>
              <w:t>December 19, 2018</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r>
        <w:trPr>
          <w:trHeight w:val="288"/>
        </w:trPr>
        <w:tc>
          <w:tcPr>
            <w:tcW w:w="1720" w:type="dxa"/>
            <w:vAlign w:val="bottom"/>
          </w:tcPr>
          <w:p>
            <w:pPr>
              <w:ind w:left="80"/>
              <w:spacing w:after="0"/>
              <w:rPr>
                <w:sz w:val="20"/>
                <w:szCs w:val="20"/>
                <w:color w:val="auto"/>
              </w:rPr>
            </w:pPr>
            <w:r>
              <w:rPr>
                <w:rFonts w:ascii="Arial" w:cs="Arial" w:eastAsia="Arial" w:hAnsi="Arial"/>
                <w:sz w:val="12"/>
                <w:szCs w:val="12"/>
                <w:color w:val="auto"/>
              </w:rPr>
              <w:t>March 29, 2019</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3"/>
              </w:rPr>
              <w:t>10.48</w:t>
            </w:r>
          </w:p>
        </w:tc>
      </w:tr>
      <w:tr>
        <w:trPr>
          <w:trHeight w:val="432"/>
        </w:trPr>
        <w:tc>
          <w:tcPr>
            <w:tcW w:w="1720" w:type="dxa"/>
            <w:vAlign w:val="bottom"/>
          </w:tcPr>
          <w:p>
            <w:pPr>
              <w:ind w:left="80"/>
              <w:spacing w:after="0"/>
              <w:rPr>
                <w:sz w:val="20"/>
                <w:szCs w:val="20"/>
                <w:color w:val="auto"/>
              </w:rPr>
            </w:pPr>
            <w:r>
              <w:rPr>
                <w:rFonts w:ascii="Arial" w:cs="Arial" w:eastAsia="Arial" w:hAnsi="Arial"/>
                <w:sz w:val="12"/>
                <w:szCs w:val="12"/>
                <w:color w:val="auto"/>
              </w:rPr>
              <w:t>June 26, 2020</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95"/>
              </w:rPr>
              <w:t>1.1</w:t>
            </w:r>
          </w:p>
        </w:tc>
      </w:tr>
      <w:tr>
        <w:trPr>
          <w:trHeight w:val="288"/>
        </w:trPr>
        <w:tc>
          <w:tcPr>
            <w:tcW w:w="1720" w:type="dxa"/>
            <w:vAlign w:val="bottom"/>
          </w:tcPr>
          <w:p>
            <w:pPr>
              <w:ind w:left="80"/>
              <w:spacing w:after="0"/>
              <w:rPr>
                <w:sz w:val="20"/>
                <w:szCs w:val="20"/>
                <w:color w:val="auto"/>
              </w:rPr>
            </w:pPr>
            <w:r>
              <w:rPr>
                <w:rFonts w:ascii="Arial" w:cs="Arial" w:eastAsia="Arial" w:hAnsi="Arial"/>
                <w:sz w:val="12"/>
                <w:szCs w:val="12"/>
                <w:color w:val="auto"/>
              </w:rPr>
              <w:t>October 2, 2020</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r>
        <w:trPr>
          <w:trHeight w:val="288"/>
        </w:trPr>
        <w:tc>
          <w:tcPr>
            <w:tcW w:w="1720" w:type="dxa"/>
            <w:vAlign w:val="bottom"/>
          </w:tcPr>
          <w:p>
            <w:pPr>
              <w:ind w:left="80"/>
              <w:spacing w:after="0"/>
              <w:rPr>
                <w:sz w:val="20"/>
                <w:szCs w:val="20"/>
                <w:color w:val="auto"/>
              </w:rPr>
            </w:pPr>
            <w:r>
              <w:rPr>
                <w:rFonts w:ascii="Arial" w:cs="Arial" w:eastAsia="Arial" w:hAnsi="Arial"/>
                <w:sz w:val="12"/>
                <w:szCs w:val="12"/>
                <w:color w:val="auto"/>
              </w:rPr>
              <w:t>November 13, 2020</w:t>
            </w:r>
          </w:p>
        </w:tc>
        <w:tc>
          <w:tcPr>
            <w:tcW w:w="940" w:type="dxa"/>
            <w:vAlign w:val="bottom"/>
          </w:tcPr>
          <w:p>
            <w:pPr>
              <w:jc w:val="center"/>
              <w:ind w:left="600"/>
              <w:spacing w:after="0"/>
              <w:rPr>
                <w:sz w:val="20"/>
                <w:szCs w:val="20"/>
                <w:color w:val="auto"/>
              </w:rPr>
            </w:pPr>
            <w:r>
              <w:rPr>
                <w:rFonts w:ascii="Arial" w:cs="Arial" w:eastAsia="Arial" w:hAnsi="Arial"/>
                <w:sz w:val="12"/>
                <w:szCs w:val="12"/>
                <w:color w:val="auto"/>
                <w:w w:val="85"/>
              </w:rPr>
              <w:t>10.1</w:t>
            </w:r>
          </w:p>
        </w:tc>
      </w:tr>
    </w:tbl>
    <w:p>
      <w:pPr>
        <w:sectPr>
          <w:pgSz w:w="11900" w:h="16838" w:orient="portrait"/>
          <w:cols w:equalWidth="0" w:num="2">
            <w:col w:w="6820" w:space="720"/>
            <w:col w:w="3760"/>
          </w:cols>
          <w:pgMar w:left="300" w:top="268" w:right="299" w:bottom="1440" w:gutter="0" w:footer="0" w:header="0"/>
          <w:type w:val="continuous"/>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Exhibit</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2"/>
          </w:tcPr>
          <w:p>
            <w:pPr>
              <w:ind w:left="740"/>
              <w:spacing w:after="0"/>
              <w:rPr>
                <w:sz w:val="20"/>
                <w:szCs w:val="20"/>
                <w:color w:val="auto"/>
              </w:rPr>
            </w:pPr>
            <w:r>
              <w:rPr>
                <w:rFonts w:ascii="Arial" w:cs="Arial" w:eastAsia="Arial" w:hAnsi="Arial"/>
                <w:sz w:val="10"/>
                <w:szCs w:val="10"/>
                <w:b w:val="1"/>
                <w:bCs w:val="1"/>
                <w:color w:val="auto"/>
                <w:w w:val="92"/>
              </w:rPr>
              <w:t>Incorporated by Reference from</w:t>
            </w: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Registrant’s</w:t>
            </w:r>
          </w:p>
        </w:tc>
        <w:tc>
          <w:tcPr>
            <w:tcW w:w="216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Date Filed</w:t>
            </w:r>
          </w:p>
        </w:tc>
        <w:tc>
          <w:tcPr>
            <w:tcW w:w="760" w:type="dxa"/>
            <w:vAlign w:val="bottom"/>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Exhibit</w:t>
            </w:r>
          </w:p>
        </w:tc>
        <w:tc>
          <w:tcPr>
            <w:tcW w:w="840" w:type="dxa"/>
            <w:vAlign w:val="bottom"/>
          </w:tcPr>
          <w:p>
            <w:pPr>
              <w:ind w:left="320"/>
              <w:spacing w:after="0" w:line="74" w:lineRule="exact"/>
              <w:rPr>
                <w:sz w:val="20"/>
                <w:szCs w:val="20"/>
                <w:color w:val="auto"/>
              </w:rPr>
            </w:pPr>
            <w:r>
              <w:rPr>
                <w:rFonts w:ascii="Arial" w:cs="Arial" w:eastAsia="Arial" w:hAnsi="Arial"/>
                <w:sz w:val="8"/>
                <w:szCs w:val="8"/>
                <w:b w:val="1"/>
                <w:bCs w:val="1"/>
                <w:color w:val="auto"/>
              </w:rPr>
              <w:t>Filed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3"/>
          </w:tcPr>
          <w:p>
            <w:pPr>
              <w:ind w:left="40"/>
              <w:spacing w:after="0" w:line="114" w:lineRule="exact"/>
              <w:rPr>
                <w:sz w:val="20"/>
                <w:szCs w:val="20"/>
                <w:color w:val="auto"/>
              </w:rPr>
            </w:pPr>
            <w:r>
              <w:rPr>
                <w:rFonts w:ascii="Arial" w:cs="Arial" w:eastAsia="Arial" w:hAnsi="Arial"/>
                <w:sz w:val="10"/>
                <w:szCs w:val="10"/>
                <w:b w:val="1"/>
                <w:bCs w:val="1"/>
                <w:color w:val="auto"/>
              </w:rPr>
              <w:t>Description of Document</w:t>
            </w: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Form</w:t>
            </w:r>
          </w:p>
        </w:tc>
        <w:tc>
          <w:tcPr>
            <w:tcW w:w="40" w:type="dxa"/>
            <w:vAlign w:val="bottom"/>
          </w:tcPr>
          <w:p>
            <w:pPr>
              <w:spacing w:after="0"/>
              <w:rPr>
                <w:sz w:val="9"/>
                <w:szCs w:val="9"/>
                <w:color w:val="auto"/>
              </w:rPr>
            </w:pPr>
          </w:p>
        </w:tc>
        <w:tc>
          <w:tcPr>
            <w:tcW w:w="21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with the SEC</w:t>
            </w:r>
          </w:p>
        </w:tc>
        <w:tc>
          <w:tcPr>
            <w:tcW w:w="40" w:type="dxa"/>
            <w:vAlign w:val="bottom"/>
          </w:tcPr>
          <w:p>
            <w:pPr>
              <w:spacing w:after="0"/>
              <w:rPr>
                <w:sz w:val="9"/>
                <w:szCs w:val="9"/>
                <w:color w:val="auto"/>
              </w:rPr>
            </w:pP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Number</w:t>
            </w:r>
          </w:p>
        </w:tc>
        <w:tc>
          <w:tcPr>
            <w:tcW w:w="40" w:type="dxa"/>
            <w:vAlign w:val="bottom"/>
          </w:tcPr>
          <w:p>
            <w:pPr>
              <w:spacing w:after="0"/>
              <w:rPr>
                <w:sz w:val="9"/>
                <w:szCs w:val="9"/>
                <w:color w:val="auto"/>
              </w:rPr>
            </w:pPr>
          </w:p>
        </w:tc>
        <w:tc>
          <w:tcPr>
            <w:tcW w:w="840" w:type="dxa"/>
            <w:vAlign w:val="bottom"/>
            <w:tcBorders>
              <w:bottom w:val="single" w:sz="8" w:color="auto"/>
            </w:tcBorders>
          </w:tcPr>
          <w:p>
            <w:pPr>
              <w:ind w:left="220"/>
              <w:spacing w:after="0" w:line="114" w:lineRule="exact"/>
              <w:rPr>
                <w:sz w:val="20"/>
                <w:szCs w:val="20"/>
                <w:color w:val="auto"/>
              </w:rPr>
            </w:pPr>
            <w:r>
              <w:rPr>
                <w:rFonts w:ascii="Arial" w:cs="Arial" w:eastAsia="Arial" w:hAnsi="Arial"/>
                <w:sz w:val="10"/>
                <w:szCs w:val="10"/>
                <w:b w:val="1"/>
                <w:bCs w:val="1"/>
                <w:color w:val="auto"/>
              </w:rPr>
              <w:t>Herewith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2"/>
                <w:szCs w:val="12"/>
                <w:color w:val="auto"/>
                <w:w w:val="93"/>
              </w:rPr>
              <w:t>10.52</w:t>
            </w:r>
          </w:p>
        </w:tc>
        <w:tc>
          <w:tcPr>
            <w:tcW w:w="40" w:type="dxa"/>
            <w:vAlign w:val="bottom"/>
          </w:tcPr>
          <w:p>
            <w:pPr>
              <w:spacing w:after="0"/>
              <w:rPr>
                <w:sz w:val="21"/>
                <w:szCs w:val="21"/>
                <w:color w:val="auto"/>
              </w:rPr>
            </w:pPr>
          </w:p>
        </w:tc>
        <w:tc>
          <w:tcPr>
            <w:tcW w:w="6660" w:type="dxa"/>
            <w:vAlign w:val="bottom"/>
            <w:gridSpan w:val="19"/>
          </w:tcPr>
          <w:p>
            <w:pPr>
              <w:spacing w:after="0"/>
              <w:rPr>
                <w:rFonts w:ascii="Arial" w:cs="Arial" w:eastAsia="Arial" w:hAnsi="Arial"/>
                <w:sz w:val="12"/>
                <w:szCs w:val="12"/>
                <w:color w:val="0000EE"/>
              </w:rPr>
            </w:pPr>
            <w:hyperlink r:id="rId209">
              <w:r>
                <w:rPr>
                  <w:rFonts w:ascii="Arial" w:cs="Arial" w:eastAsia="Arial" w:hAnsi="Arial"/>
                  <w:sz w:val="12"/>
                  <w:szCs w:val="12"/>
                  <w:color w:val="0000EE"/>
                </w:rPr>
                <w:t>Amendment to Employment Agreement by and between the Company and James Mackaness, dated as of</w:t>
              </w:r>
            </w:hyperlink>
          </w:p>
        </w:tc>
        <w:tc>
          <w:tcPr>
            <w:tcW w:w="2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8"/>
              </w:rPr>
            </w:pPr>
            <w:hyperlink r:id="rId209">
              <w:r>
                <w:rPr>
                  <w:rFonts w:ascii="Arial" w:cs="Arial" w:eastAsia="Arial" w:hAnsi="Arial"/>
                  <w:sz w:val="12"/>
                  <w:szCs w:val="12"/>
                  <w:color w:val="0000EE"/>
                  <w:w w:val="88"/>
                </w:rPr>
                <w:t>January 8, 2021</w:t>
              </w:r>
            </w:hyperlink>
          </w:p>
        </w:tc>
        <w:tc>
          <w:tcPr>
            <w:tcW w:w="2380" w:type="dxa"/>
            <w:vAlign w:val="bottom"/>
            <w:tcBorders>
              <w:top w:val="single" w:sz="8" w:color="0000EE"/>
            </w:tcBorders>
            <w:gridSpan w:val="5"/>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80"/>
              <w:spacing w:after="0" w:line="124" w:lineRule="exact"/>
              <w:rPr>
                <w:sz w:val="20"/>
                <w:szCs w:val="20"/>
                <w:color w:val="auto"/>
              </w:rPr>
            </w:pPr>
            <w:r>
              <w:rPr>
                <w:rFonts w:ascii="Arial" w:cs="Arial" w:eastAsia="Arial" w:hAnsi="Arial"/>
                <w:sz w:val="12"/>
                <w:szCs w:val="12"/>
                <w:color w:val="auto"/>
              </w:rPr>
              <w:t>January 13, 2021</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93"/>
              </w:rPr>
              <w:t>10.53</w:t>
            </w:r>
          </w:p>
        </w:tc>
        <w:tc>
          <w:tcPr>
            <w:tcW w:w="40" w:type="dxa"/>
            <w:vAlign w:val="bottom"/>
          </w:tcPr>
          <w:p>
            <w:pPr>
              <w:spacing w:after="0"/>
              <w:rPr>
                <w:sz w:val="23"/>
                <w:szCs w:val="23"/>
                <w:color w:val="auto"/>
              </w:rPr>
            </w:pPr>
          </w:p>
        </w:tc>
        <w:tc>
          <w:tcPr>
            <w:tcW w:w="6660" w:type="dxa"/>
            <w:vAlign w:val="bottom"/>
            <w:gridSpan w:val="19"/>
          </w:tcPr>
          <w:p>
            <w:pPr>
              <w:spacing w:after="0"/>
              <w:rPr>
                <w:rFonts w:ascii="Arial" w:cs="Arial" w:eastAsia="Arial" w:hAnsi="Arial"/>
                <w:sz w:val="12"/>
                <w:szCs w:val="12"/>
                <w:color w:val="0000EE"/>
              </w:rPr>
            </w:pPr>
            <w:hyperlink r:id="rId210">
              <w:r>
                <w:rPr>
                  <w:rFonts w:ascii="Arial" w:cs="Arial" w:eastAsia="Arial" w:hAnsi="Arial"/>
                  <w:sz w:val="12"/>
                  <w:szCs w:val="12"/>
                  <w:color w:val="0000EE"/>
                </w:rPr>
                <w:t>Amendment to Employment Agreement by and between the Company and Kristen Yen, dated as of January 8,</w:t>
              </w:r>
            </w:hyperlink>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2"/>
              </w:rPr>
            </w:pPr>
            <w:hyperlink r:id="rId210">
              <w:r>
                <w:rPr>
                  <w:rFonts w:ascii="Arial" w:cs="Arial" w:eastAsia="Arial" w:hAnsi="Arial"/>
                  <w:sz w:val="12"/>
                  <w:szCs w:val="12"/>
                  <w:color w:val="0000EE"/>
                  <w:w w:val="82"/>
                </w:rPr>
                <w:t>2021</w:t>
              </w:r>
            </w:hyperlink>
          </w:p>
        </w:tc>
        <w:tc>
          <w:tcPr>
            <w:tcW w:w="5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80"/>
              <w:spacing w:after="0" w:line="124" w:lineRule="exact"/>
              <w:rPr>
                <w:sz w:val="20"/>
                <w:szCs w:val="20"/>
                <w:color w:val="auto"/>
              </w:rPr>
            </w:pPr>
            <w:r>
              <w:rPr>
                <w:rFonts w:ascii="Arial" w:cs="Arial" w:eastAsia="Arial" w:hAnsi="Arial"/>
                <w:sz w:val="12"/>
                <w:szCs w:val="12"/>
                <w:color w:val="auto"/>
              </w:rPr>
              <w:t>January 13, 2021</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5"/>
              </w:rPr>
              <w:t>10.2</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93"/>
              </w:rPr>
              <w:t>10.54</w:t>
            </w:r>
          </w:p>
        </w:tc>
        <w:tc>
          <w:tcPr>
            <w:tcW w:w="40" w:type="dxa"/>
            <w:vAlign w:val="bottom"/>
          </w:tcPr>
          <w:p>
            <w:pPr>
              <w:spacing w:after="0"/>
              <w:rPr>
                <w:sz w:val="23"/>
                <w:szCs w:val="23"/>
                <w:color w:val="auto"/>
              </w:rPr>
            </w:pPr>
          </w:p>
        </w:tc>
        <w:tc>
          <w:tcPr>
            <w:tcW w:w="6660" w:type="dxa"/>
            <w:vAlign w:val="bottom"/>
            <w:gridSpan w:val="19"/>
          </w:tcPr>
          <w:p>
            <w:pPr>
              <w:spacing w:after="0"/>
              <w:rPr>
                <w:rFonts w:ascii="Arial" w:cs="Arial" w:eastAsia="Arial" w:hAnsi="Arial"/>
                <w:sz w:val="12"/>
                <w:szCs w:val="12"/>
                <w:color w:val="0000EE"/>
              </w:rPr>
            </w:pPr>
            <w:hyperlink r:id="rId211">
              <w:r>
                <w:rPr>
                  <w:rFonts w:ascii="Arial" w:cs="Arial" w:eastAsia="Arial" w:hAnsi="Arial"/>
                  <w:sz w:val="12"/>
                  <w:szCs w:val="12"/>
                  <w:color w:val="0000EE"/>
                </w:rPr>
                <w:t>Amendment to Employment Agreement by and between the Company and Patricia Hirano, dated as of</w:t>
              </w:r>
            </w:hyperlink>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5"/>
              </w:rPr>
            </w:pPr>
            <w:hyperlink r:id="rId211">
              <w:r>
                <w:rPr>
                  <w:rFonts w:ascii="Arial" w:cs="Arial" w:eastAsia="Arial" w:hAnsi="Arial"/>
                  <w:sz w:val="12"/>
                  <w:szCs w:val="12"/>
                  <w:color w:val="0000EE"/>
                  <w:w w:val="85"/>
                </w:rPr>
                <w:t>January 8, 2021</w:t>
              </w:r>
            </w:hyperlink>
          </w:p>
        </w:tc>
        <w:tc>
          <w:tcPr>
            <w:tcW w:w="2400" w:type="dxa"/>
            <w:vAlign w:val="bottom"/>
            <w:tcBorders>
              <w:top w:val="single" w:sz="8" w:color="0000EE"/>
            </w:tcBorders>
            <w:gridSpan w:val="6"/>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8-K</w:t>
            </w:r>
          </w:p>
        </w:tc>
        <w:tc>
          <w:tcPr>
            <w:tcW w:w="2160" w:type="dxa"/>
            <w:vAlign w:val="bottom"/>
            <w:gridSpan w:val="2"/>
          </w:tcPr>
          <w:p>
            <w:pPr>
              <w:ind w:left="80"/>
              <w:spacing w:after="0" w:line="124" w:lineRule="exact"/>
              <w:rPr>
                <w:sz w:val="20"/>
                <w:szCs w:val="20"/>
                <w:color w:val="auto"/>
              </w:rPr>
            </w:pPr>
            <w:r>
              <w:rPr>
                <w:rFonts w:ascii="Arial" w:cs="Arial" w:eastAsia="Arial" w:hAnsi="Arial"/>
                <w:sz w:val="12"/>
                <w:szCs w:val="12"/>
                <w:color w:val="auto"/>
              </w:rPr>
              <w:t>January 13, 2021</w:t>
            </w:r>
          </w:p>
        </w:tc>
        <w:tc>
          <w:tcPr>
            <w:tcW w:w="720" w:type="dxa"/>
            <w:vAlign w:val="bottom"/>
          </w:tcPr>
          <w:p>
            <w:pPr>
              <w:jc w:val="center"/>
              <w:spacing w:after="0" w:line="124" w:lineRule="exact"/>
              <w:rPr>
                <w:sz w:val="20"/>
                <w:szCs w:val="20"/>
                <w:color w:val="auto"/>
              </w:rPr>
            </w:pPr>
            <w:r>
              <w:rPr>
                <w:rFonts w:ascii="Arial" w:cs="Arial" w:eastAsia="Arial" w:hAnsi="Arial"/>
                <w:sz w:val="12"/>
                <w:szCs w:val="12"/>
                <w:color w:val="auto"/>
                <w:w w:val="85"/>
              </w:rPr>
              <w:t>10.3</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840" w:type="dxa"/>
            <w:vAlign w:val="bottom"/>
          </w:tcPr>
          <w:p>
            <w:pPr>
              <w:jc w:val="center"/>
              <w:spacing w:after="0"/>
              <w:rPr>
                <w:sz w:val="20"/>
                <w:szCs w:val="20"/>
                <w:color w:val="auto"/>
              </w:rPr>
            </w:pPr>
            <w:r>
              <w:rPr>
                <w:rFonts w:ascii="Arial" w:cs="Arial" w:eastAsia="Arial" w:hAnsi="Arial"/>
                <w:sz w:val="12"/>
                <w:szCs w:val="12"/>
                <w:color w:val="auto"/>
                <w:w w:val="85"/>
              </w:rPr>
              <w:t>21.1</w:t>
            </w:r>
          </w:p>
        </w:tc>
        <w:tc>
          <w:tcPr>
            <w:tcW w:w="40" w:type="dxa"/>
            <w:vAlign w:val="bottom"/>
          </w:tcPr>
          <w:p>
            <w:pPr>
              <w:spacing w:after="0"/>
              <w:rPr>
                <w:sz w:val="24"/>
                <w:szCs w:val="24"/>
                <w:color w:val="auto"/>
              </w:rPr>
            </w:pPr>
          </w:p>
        </w:tc>
        <w:tc>
          <w:tcPr>
            <w:tcW w:w="3160" w:type="dxa"/>
            <w:vAlign w:val="bottom"/>
            <w:gridSpan w:val="8"/>
          </w:tcPr>
          <w:p>
            <w:pPr>
              <w:spacing w:after="0"/>
              <w:rPr>
                <w:rFonts w:ascii="Arial" w:cs="Arial" w:eastAsia="Arial" w:hAnsi="Arial"/>
                <w:sz w:val="12"/>
                <w:szCs w:val="12"/>
                <w:u w:val="single" w:color="auto"/>
                <w:color w:val="0000EE"/>
              </w:rPr>
            </w:pPr>
            <w:hyperlink w:anchor="page100">
              <w:r>
                <w:rPr>
                  <w:rFonts w:ascii="Arial" w:cs="Arial" w:eastAsia="Arial" w:hAnsi="Arial"/>
                  <w:sz w:val="12"/>
                  <w:szCs w:val="12"/>
                  <w:u w:val="single" w:color="auto"/>
                  <w:color w:val="0000EE"/>
                </w:rPr>
                <w:t>Subsidiaries</w:t>
              </w:r>
            </w:hyperlink>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40" w:type="dxa"/>
            <w:vAlign w:val="bottom"/>
          </w:tcPr>
          <w:p>
            <w:pPr>
              <w:jc w:val="center"/>
              <w:spacing w:after="0"/>
              <w:rPr>
                <w:sz w:val="20"/>
                <w:szCs w:val="20"/>
                <w:color w:val="auto"/>
              </w:rPr>
            </w:pPr>
            <w:r>
              <w:rPr>
                <w:rFonts w:ascii="Arial" w:cs="Arial" w:eastAsia="Arial" w:hAnsi="Arial"/>
                <w:sz w:val="12"/>
                <w:szCs w:val="12"/>
                <w:color w:val="auto"/>
                <w:w w:val="85"/>
              </w:rPr>
              <w:t>23.1</w:t>
            </w:r>
          </w:p>
        </w:tc>
        <w:tc>
          <w:tcPr>
            <w:tcW w:w="40" w:type="dxa"/>
            <w:vAlign w:val="bottom"/>
          </w:tcPr>
          <w:p>
            <w:pPr>
              <w:spacing w:after="0"/>
              <w:rPr>
                <w:sz w:val="24"/>
                <w:szCs w:val="24"/>
                <w:color w:val="auto"/>
              </w:rPr>
            </w:pPr>
          </w:p>
        </w:tc>
        <w:tc>
          <w:tcPr>
            <w:tcW w:w="3160" w:type="dxa"/>
            <w:vAlign w:val="bottom"/>
            <w:gridSpan w:val="8"/>
          </w:tcPr>
          <w:p>
            <w:pPr>
              <w:spacing w:after="0"/>
              <w:rPr>
                <w:rFonts w:ascii="Arial" w:cs="Arial" w:eastAsia="Arial" w:hAnsi="Arial"/>
                <w:sz w:val="12"/>
                <w:szCs w:val="12"/>
                <w:u w:val="single" w:color="auto"/>
                <w:color w:val="0000EE"/>
              </w:rPr>
            </w:pPr>
            <w:hyperlink w:anchor="page101">
              <w:r>
                <w:rPr>
                  <w:rFonts w:ascii="Arial" w:cs="Arial" w:eastAsia="Arial" w:hAnsi="Arial"/>
                  <w:sz w:val="12"/>
                  <w:szCs w:val="12"/>
                  <w:u w:val="single" w:color="auto"/>
                  <w:color w:val="0000EE"/>
                </w:rPr>
                <w:t>Consent of Marcum LLP</w:t>
              </w:r>
            </w:hyperlink>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61"/>
        </w:trPr>
        <w:tc>
          <w:tcPr>
            <w:tcW w:w="840" w:type="dxa"/>
            <w:vAlign w:val="bottom"/>
          </w:tcPr>
          <w:p>
            <w:pPr>
              <w:jc w:val="center"/>
              <w:spacing w:after="0"/>
              <w:rPr>
                <w:sz w:val="20"/>
                <w:szCs w:val="20"/>
                <w:color w:val="auto"/>
              </w:rPr>
            </w:pPr>
            <w:r>
              <w:rPr>
                <w:rFonts w:ascii="Arial" w:cs="Arial" w:eastAsia="Arial" w:hAnsi="Arial"/>
                <w:sz w:val="12"/>
                <w:szCs w:val="12"/>
                <w:color w:val="auto"/>
                <w:w w:val="85"/>
              </w:rPr>
              <w:t>31.1</w:t>
            </w:r>
          </w:p>
        </w:tc>
        <w:tc>
          <w:tcPr>
            <w:tcW w:w="40" w:type="dxa"/>
            <w:vAlign w:val="bottom"/>
          </w:tcPr>
          <w:p>
            <w:pPr>
              <w:spacing w:after="0"/>
              <w:rPr>
                <w:sz w:val="22"/>
                <w:szCs w:val="22"/>
                <w:color w:val="auto"/>
              </w:rPr>
            </w:pPr>
          </w:p>
        </w:tc>
        <w:tc>
          <w:tcPr>
            <w:tcW w:w="3160" w:type="dxa"/>
            <w:vAlign w:val="bottom"/>
            <w:gridSpan w:val="8"/>
          </w:tcPr>
          <w:p>
            <w:pPr>
              <w:spacing w:after="0"/>
              <w:rPr>
                <w:rFonts w:ascii="Arial" w:cs="Arial" w:eastAsia="Arial" w:hAnsi="Arial"/>
                <w:sz w:val="12"/>
                <w:szCs w:val="12"/>
                <w:color w:val="0000EE"/>
                <w:w w:val="93"/>
              </w:rPr>
            </w:pPr>
            <w:hyperlink w:anchor="page102">
              <w:r>
                <w:rPr>
                  <w:rFonts w:ascii="Arial" w:cs="Arial" w:eastAsia="Arial" w:hAnsi="Arial"/>
                  <w:sz w:val="12"/>
                  <w:szCs w:val="12"/>
                  <w:color w:val="0000EE"/>
                  <w:w w:val="93"/>
                </w:rPr>
                <w:t>Certification of Principal Executive Officer Required Under Rule</w:t>
              </w:r>
            </w:hyperlink>
          </w:p>
        </w:tc>
        <w:tc>
          <w:tcPr>
            <w:tcW w:w="3500" w:type="dxa"/>
            <w:vAlign w:val="bottom"/>
            <w:gridSpan w:val="11"/>
          </w:tcPr>
          <w:p>
            <w:pPr>
              <w:ind w:left="40"/>
              <w:spacing w:after="0"/>
              <w:rPr>
                <w:rFonts w:ascii="Arial" w:cs="Arial" w:eastAsia="Arial" w:hAnsi="Arial"/>
                <w:sz w:val="12"/>
                <w:szCs w:val="12"/>
                <w:color w:val="0000EE"/>
              </w:rPr>
            </w:pPr>
            <w:hyperlink w:anchor="page102">
              <w:r>
                <w:rPr>
                  <w:rFonts w:ascii="Arial" w:cs="Arial" w:eastAsia="Arial" w:hAnsi="Arial"/>
                  <w:sz w:val="12"/>
                  <w:szCs w:val="12"/>
                  <w:color w:val="0000EE"/>
                </w:rPr>
                <w:t>13a-14(a) and 15d-14(a) of the Securities</w:t>
              </w:r>
            </w:hyperlink>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8"/>
              </w:rPr>
            </w:pPr>
            <w:hyperlink w:anchor="page102">
              <w:r>
                <w:rPr>
                  <w:rFonts w:ascii="Arial" w:cs="Arial" w:eastAsia="Arial" w:hAnsi="Arial"/>
                  <w:sz w:val="12"/>
                  <w:szCs w:val="12"/>
                  <w:color w:val="0000EE"/>
                  <w:w w:val="88"/>
                </w:rPr>
                <w:t>Exchange Act of 1934, as amended</w:t>
              </w:r>
            </w:hyperlink>
          </w:p>
        </w:tc>
        <w:tc>
          <w:tcPr>
            <w:tcW w:w="1460" w:type="dxa"/>
            <w:vAlign w:val="bottom"/>
            <w:tcBorders>
              <w:top w:val="single" w:sz="8" w:color="0000EE"/>
            </w:tcBorders>
            <w:gridSpan w:val="4"/>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740"/>
              <w:spacing w:after="0" w:line="124"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6"/>
        </w:trPr>
        <w:tc>
          <w:tcPr>
            <w:tcW w:w="840" w:type="dxa"/>
            <w:vAlign w:val="bottom"/>
          </w:tcPr>
          <w:p>
            <w:pPr>
              <w:jc w:val="center"/>
              <w:spacing w:after="0"/>
              <w:rPr>
                <w:sz w:val="20"/>
                <w:szCs w:val="20"/>
                <w:color w:val="auto"/>
              </w:rPr>
            </w:pPr>
            <w:r>
              <w:rPr>
                <w:rFonts w:ascii="Arial" w:cs="Arial" w:eastAsia="Arial" w:hAnsi="Arial"/>
                <w:sz w:val="12"/>
                <w:szCs w:val="12"/>
                <w:color w:val="auto"/>
                <w:w w:val="85"/>
              </w:rPr>
              <w:t>31.2</w:t>
            </w:r>
          </w:p>
        </w:tc>
        <w:tc>
          <w:tcPr>
            <w:tcW w:w="40" w:type="dxa"/>
            <w:vAlign w:val="bottom"/>
          </w:tcPr>
          <w:p>
            <w:pPr>
              <w:spacing w:after="0"/>
              <w:rPr>
                <w:sz w:val="24"/>
                <w:szCs w:val="24"/>
                <w:color w:val="auto"/>
              </w:rPr>
            </w:pPr>
          </w:p>
        </w:tc>
        <w:tc>
          <w:tcPr>
            <w:tcW w:w="3920" w:type="dxa"/>
            <w:vAlign w:val="bottom"/>
            <w:gridSpan w:val="9"/>
          </w:tcPr>
          <w:p>
            <w:pPr>
              <w:spacing w:after="0"/>
              <w:rPr>
                <w:rFonts w:ascii="Arial" w:cs="Arial" w:eastAsia="Arial" w:hAnsi="Arial"/>
                <w:sz w:val="12"/>
                <w:szCs w:val="12"/>
                <w:color w:val="0000EE"/>
                <w:w w:val="93"/>
              </w:rPr>
            </w:pPr>
            <w:hyperlink w:anchor="page103">
              <w:r>
                <w:rPr>
                  <w:rFonts w:ascii="Arial" w:cs="Arial" w:eastAsia="Arial" w:hAnsi="Arial"/>
                  <w:sz w:val="12"/>
                  <w:szCs w:val="12"/>
                  <w:color w:val="0000EE"/>
                  <w:w w:val="93"/>
                </w:rPr>
                <w:t>Certification of Principal Financial and Accounting Officer Required Under Rule</w:t>
              </w:r>
            </w:hyperlink>
          </w:p>
        </w:tc>
        <w:tc>
          <w:tcPr>
            <w:tcW w:w="2740" w:type="dxa"/>
            <w:vAlign w:val="bottom"/>
            <w:gridSpan w:val="10"/>
          </w:tcPr>
          <w:p>
            <w:pPr>
              <w:ind w:left="40"/>
              <w:spacing w:after="0"/>
              <w:rPr>
                <w:rFonts w:ascii="Arial" w:cs="Arial" w:eastAsia="Arial" w:hAnsi="Arial"/>
                <w:sz w:val="12"/>
                <w:szCs w:val="12"/>
                <w:color w:val="0000EE"/>
              </w:rPr>
            </w:pPr>
            <w:hyperlink w:anchor="page103">
              <w:r>
                <w:rPr>
                  <w:rFonts w:ascii="Arial" w:cs="Arial" w:eastAsia="Arial" w:hAnsi="Arial"/>
                  <w:sz w:val="12"/>
                  <w:szCs w:val="12"/>
                  <w:color w:val="0000EE"/>
                </w:rPr>
                <w:t>13a-14(a) and 15d-14(a) of the</w:t>
              </w:r>
            </w:hyperlink>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8"/>
              </w:rPr>
            </w:pPr>
            <w:hyperlink w:anchor="page103">
              <w:r>
                <w:rPr>
                  <w:rFonts w:ascii="Arial" w:cs="Arial" w:eastAsia="Arial" w:hAnsi="Arial"/>
                  <w:sz w:val="12"/>
                  <w:szCs w:val="12"/>
                  <w:color w:val="0000EE"/>
                  <w:w w:val="88"/>
                </w:rPr>
                <w:t>Securities Exchange Act of 1934, as amended</w:t>
              </w:r>
            </w:hyperlink>
          </w:p>
        </w:tc>
        <w:tc>
          <w:tcPr>
            <w:tcW w:w="960" w:type="dxa"/>
            <w:vAlign w:val="bottom"/>
            <w:tcBorders>
              <w:top w:val="single" w:sz="8" w:color="0000EE"/>
            </w:tcBorders>
            <w:gridSpan w:val="2"/>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740"/>
              <w:spacing w:after="0" w:line="124"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32.1</w:t>
            </w:r>
          </w:p>
        </w:tc>
        <w:tc>
          <w:tcPr>
            <w:tcW w:w="40" w:type="dxa"/>
            <w:vAlign w:val="bottom"/>
          </w:tcPr>
          <w:p>
            <w:pPr>
              <w:spacing w:after="0"/>
              <w:rPr>
                <w:sz w:val="23"/>
                <w:szCs w:val="23"/>
                <w:color w:val="auto"/>
              </w:rPr>
            </w:pPr>
          </w:p>
        </w:tc>
        <w:tc>
          <w:tcPr>
            <w:tcW w:w="3160" w:type="dxa"/>
            <w:vAlign w:val="bottom"/>
            <w:gridSpan w:val="8"/>
          </w:tcPr>
          <w:p>
            <w:pPr>
              <w:spacing w:after="0"/>
              <w:rPr>
                <w:rFonts w:ascii="Arial" w:cs="Arial" w:eastAsia="Arial" w:hAnsi="Arial"/>
                <w:sz w:val="12"/>
                <w:szCs w:val="12"/>
                <w:color w:val="0000EE"/>
                <w:w w:val="93"/>
              </w:rPr>
            </w:pPr>
            <w:hyperlink w:anchor="page104">
              <w:r>
                <w:rPr>
                  <w:rFonts w:ascii="Arial" w:cs="Arial" w:eastAsia="Arial" w:hAnsi="Arial"/>
                  <w:sz w:val="12"/>
                  <w:szCs w:val="12"/>
                  <w:color w:val="0000EE"/>
                  <w:w w:val="93"/>
                </w:rPr>
                <w:t>Certification of Principal Executive Officer Required Under Rule</w:t>
              </w:r>
            </w:hyperlink>
          </w:p>
        </w:tc>
        <w:tc>
          <w:tcPr>
            <w:tcW w:w="3500" w:type="dxa"/>
            <w:vAlign w:val="bottom"/>
            <w:gridSpan w:val="11"/>
          </w:tcPr>
          <w:p>
            <w:pPr>
              <w:ind w:left="40"/>
              <w:spacing w:after="0"/>
              <w:rPr>
                <w:rFonts w:ascii="Arial" w:cs="Arial" w:eastAsia="Arial" w:hAnsi="Arial"/>
                <w:sz w:val="12"/>
                <w:szCs w:val="12"/>
                <w:color w:val="0000EE"/>
              </w:rPr>
            </w:pPr>
            <w:hyperlink w:anchor="page104">
              <w:r>
                <w:rPr>
                  <w:rFonts w:ascii="Arial" w:cs="Arial" w:eastAsia="Arial" w:hAnsi="Arial"/>
                  <w:sz w:val="12"/>
                  <w:szCs w:val="12"/>
                  <w:color w:val="0000EE"/>
                </w:rPr>
                <w:t>13a-14(b) of the Securities Exchange Act of</w:t>
              </w:r>
            </w:hyperlink>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6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w:anchor="page104">
              <w:r>
                <w:rPr>
                  <w:rFonts w:ascii="Arial" w:cs="Arial" w:eastAsia="Arial" w:hAnsi="Arial"/>
                  <w:sz w:val="12"/>
                  <w:szCs w:val="12"/>
                  <w:color w:val="0000EE"/>
                </w:rPr>
                <w:t>1934, as amended, and 18 U.S.C. §1350</w:t>
              </w:r>
            </w:hyperlink>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740"/>
              <w:spacing w:after="0" w:line="124"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40" w:type="dxa"/>
            <w:vAlign w:val="bottom"/>
          </w:tcPr>
          <w:p>
            <w:pPr>
              <w:jc w:val="center"/>
              <w:spacing w:after="0"/>
              <w:rPr>
                <w:sz w:val="20"/>
                <w:szCs w:val="20"/>
                <w:color w:val="auto"/>
              </w:rPr>
            </w:pPr>
            <w:r>
              <w:rPr>
                <w:rFonts w:ascii="Arial" w:cs="Arial" w:eastAsia="Arial" w:hAnsi="Arial"/>
                <w:sz w:val="12"/>
                <w:szCs w:val="12"/>
                <w:color w:val="auto"/>
                <w:w w:val="85"/>
              </w:rPr>
              <w:t>32.2</w:t>
            </w:r>
          </w:p>
        </w:tc>
        <w:tc>
          <w:tcPr>
            <w:tcW w:w="40" w:type="dxa"/>
            <w:vAlign w:val="bottom"/>
          </w:tcPr>
          <w:p>
            <w:pPr>
              <w:spacing w:after="0"/>
              <w:rPr>
                <w:sz w:val="23"/>
                <w:szCs w:val="23"/>
                <w:color w:val="auto"/>
              </w:rPr>
            </w:pPr>
          </w:p>
        </w:tc>
        <w:tc>
          <w:tcPr>
            <w:tcW w:w="3920" w:type="dxa"/>
            <w:vAlign w:val="bottom"/>
            <w:gridSpan w:val="9"/>
          </w:tcPr>
          <w:p>
            <w:pPr>
              <w:spacing w:after="0"/>
              <w:rPr>
                <w:rFonts w:ascii="Arial" w:cs="Arial" w:eastAsia="Arial" w:hAnsi="Arial"/>
                <w:sz w:val="12"/>
                <w:szCs w:val="12"/>
                <w:color w:val="0000EE"/>
                <w:w w:val="93"/>
              </w:rPr>
            </w:pPr>
            <w:hyperlink w:anchor="page105">
              <w:r>
                <w:rPr>
                  <w:rFonts w:ascii="Arial" w:cs="Arial" w:eastAsia="Arial" w:hAnsi="Arial"/>
                  <w:sz w:val="12"/>
                  <w:szCs w:val="12"/>
                  <w:color w:val="0000EE"/>
                  <w:w w:val="93"/>
                </w:rPr>
                <w:t>Certification of Principal Financial and Accounting Officer Required Under Rule</w:t>
              </w:r>
            </w:hyperlink>
          </w:p>
        </w:tc>
        <w:tc>
          <w:tcPr>
            <w:tcW w:w="2740" w:type="dxa"/>
            <w:vAlign w:val="bottom"/>
            <w:gridSpan w:val="10"/>
          </w:tcPr>
          <w:p>
            <w:pPr>
              <w:ind w:left="40"/>
              <w:spacing w:after="0"/>
              <w:rPr>
                <w:rFonts w:ascii="Arial" w:cs="Arial" w:eastAsia="Arial" w:hAnsi="Arial"/>
                <w:sz w:val="12"/>
                <w:szCs w:val="12"/>
                <w:color w:val="0000EE"/>
              </w:rPr>
            </w:pPr>
            <w:hyperlink w:anchor="page105">
              <w:r>
                <w:rPr>
                  <w:rFonts w:ascii="Arial" w:cs="Arial" w:eastAsia="Arial" w:hAnsi="Arial"/>
                  <w:sz w:val="12"/>
                  <w:szCs w:val="12"/>
                  <w:color w:val="0000EE"/>
                </w:rPr>
                <w:t>13a-14(b) of the Securities</w:t>
              </w:r>
            </w:hyperlink>
          </w:p>
        </w:tc>
        <w:tc>
          <w:tcPr>
            <w:tcW w:w="2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6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88"/>
              </w:rPr>
            </w:pPr>
            <w:hyperlink w:anchor="page105">
              <w:r>
                <w:rPr>
                  <w:rFonts w:ascii="Arial" w:cs="Arial" w:eastAsia="Arial" w:hAnsi="Arial"/>
                  <w:sz w:val="12"/>
                  <w:szCs w:val="12"/>
                  <w:color w:val="0000EE"/>
                  <w:w w:val="88"/>
                </w:rPr>
                <w:t>Exchange Act of 1934, as amended, and 18 U.S.C. §1350</w:t>
              </w:r>
            </w:hyperlink>
          </w:p>
        </w:tc>
        <w:tc>
          <w:tcPr>
            <w:tcW w:w="4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10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ind w:left="740"/>
              <w:spacing w:after="0" w:line="124"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95"/>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2"/>
              </w:rPr>
              <w:t>101.INS</w:t>
            </w:r>
          </w:p>
        </w:tc>
        <w:tc>
          <w:tcPr>
            <w:tcW w:w="3160" w:type="dxa"/>
            <w:vAlign w:val="bottom"/>
            <w:gridSpan w:val="8"/>
          </w:tcPr>
          <w:p>
            <w:pPr>
              <w:spacing w:after="0"/>
              <w:rPr>
                <w:sz w:val="20"/>
                <w:szCs w:val="20"/>
                <w:color w:val="auto"/>
              </w:rPr>
            </w:pPr>
            <w:r>
              <w:rPr>
                <w:rFonts w:ascii="Arial" w:cs="Arial" w:eastAsia="Arial" w:hAnsi="Arial"/>
                <w:sz w:val="12"/>
                <w:szCs w:val="12"/>
                <w:color w:val="auto"/>
              </w:rPr>
              <w:t>XBRL Instance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101.SCH</w:t>
            </w:r>
          </w:p>
        </w:tc>
        <w:tc>
          <w:tcPr>
            <w:tcW w:w="3160" w:type="dxa"/>
            <w:vAlign w:val="bottom"/>
            <w:gridSpan w:val="8"/>
          </w:tcPr>
          <w:p>
            <w:pPr>
              <w:spacing w:after="0"/>
              <w:rPr>
                <w:sz w:val="20"/>
                <w:szCs w:val="20"/>
                <w:color w:val="auto"/>
              </w:rPr>
            </w:pPr>
            <w:r>
              <w:rPr>
                <w:rFonts w:ascii="Arial" w:cs="Arial" w:eastAsia="Arial" w:hAnsi="Arial"/>
                <w:sz w:val="12"/>
                <w:szCs w:val="12"/>
                <w:color w:val="auto"/>
              </w:rPr>
              <w:t>XBRL Taxonomy Extension Schema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4"/>
              </w:rPr>
              <w:t>101.CAL</w:t>
            </w:r>
          </w:p>
        </w:tc>
        <w:tc>
          <w:tcPr>
            <w:tcW w:w="3160" w:type="dxa"/>
            <w:vAlign w:val="bottom"/>
            <w:gridSpan w:val="8"/>
          </w:tcPr>
          <w:p>
            <w:pPr>
              <w:spacing w:after="0"/>
              <w:rPr>
                <w:sz w:val="20"/>
                <w:szCs w:val="20"/>
                <w:color w:val="auto"/>
              </w:rPr>
            </w:pPr>
            <w:r>
              <w:rPr>
                <w:rFonts w:ascii="Arial" w:cs="Arial" w:eastAsia="Arial" w:hAnsi="Arial"/>
                <w:sz w:val="12"/>
                <w:szCs w:val="12"/>
                <w:color w:val="auto"/>
                <w:w w:val="97"/>
              </w:rPr>
              <w:t>XBRL Taxonomy Extension Calculation Linkbase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2"/>
              </w:rPr>
              <w:t>101.DEF</w:t>
            </w:r>
          </w:p>
        </w:tc>
        <w:tc>
          <w:tcPr>
            <w:tcW w:w="3160" w:type="dxa"/>
            <w:vAlign w:val="bottom"/>
            <w:gridSpan w:val="8"/>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5"/>
              </w:rPr>
              <w:t>101.LAB</w:t>
            </w:r>
          </w:p>
        </w:tc>
        <w:tc>
          <w:tcPr>
            <w:tcW w:w="3160" w:type="dxa"/>
            <w:vAlign w:val="bottom"/>
            <w:gridSpan w:val="8"/>
          </w:tcPr>
          <w:p>
            <w:pPr>
              <w:spacing w:after="0"/>
              <w:rPr>
                <w:sz w:val="20"/>
                <w:szCs w:val="20"/>
                <w:color w:val="auto"/>
              </w:rPr>
            </w:pPr>
            <w:r>
              <w:rPr>
                <w:rFonts w:ascii="Arial" w:cs="Arial" w:eastAsia="Arial" w:hAnsi="Arial"/>
                <w:sz w:val="12"/>
                <w:szCs w:val="12"/>
                <w:color w:val="auto"/>
              </w:rPr>
              <w:t>XBRL Taxonomy Extension Label Linkbase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288"/>
        </w:trPr>
        <w:tc>
          <w:tcPr>
            <w:tcW w:w="880" w:type="dxa"/>
            <w:vAlign w:val="bottom"/>
            <w:gridSpan w:val="2"/>
          </w:tcPr>
          <w:p>
            <w:pPr>
              <w:jc w:val="center"/>
              <w:ind w:right="40"/>
              <w:spacing w:after="0"/>
              <w:rPr>
                <w:sz w:val="20"/>
                <w:szCs w:val="20"/>
                <w:color w:val="auto"/>
              </w:rPr>
            </w:pPr>
            <w:r>
              <w:rPr>
                <w:rFonts w:ascii="Arial" w:cs="Arial" w:eastAsia="Arial" w:hAnsi="Arial"/>
                <w:sz w:val="12"/>
                <w:szCs w:val="12"/>
                <w:color w:val="auto"/>
                <w:w w:val="91"/>
              </w:rPr>
              <w:t>101.PRE</w:t>
            </w:r>
          </w:p>
        </w:tc>
        <w:tc>
          <w:tcPr>
            <w:tcW w:w="3160" w:type="dxa"/>
            <w:vAlign w:val="bottom"/>
            <w:gridSpan w:val="8"/>
          </w:tcPr>
          <w:p>
            <w:pPr>
              <w:spacing w:after="0"/>
              <w:rPr>
                <w:sz w:val="20"/>
                <w:szCs w:val="20"/>
                <w:color w:val="auto"/>
              </w:rPr>
            </w:pPr>
            <w:r>
              <w:rPr>
                <w:rFonts w:ascii="Arial" w:cs="Arial" w:eastAsia="Arial" w:hAnsi="Arial"/>
                <w:sz w:val="12"/>
                <w:szCs w:val="12"/>
                <w:color w:val="auto"/>
                <w:w w:val="95"/>
              </w:rPr>
              <w:t>XBRL Taxonomy Extension Presentation Linkbase Document.</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ind w:left="74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68" w:right="279" w:bottom="1440" w:gutter="0" w:footer="0" w:header="0"/>
        </w:sectPr>
      </w:pPr>
    </w:p>
    <w:bookmarkStart w:id="98" w:name="page99"/>
    <w:bookmarkEnd w:id="98"/>
    <w:p>
      <w:pPr>
        <w:jc w:val="center"/>
        <w:spacing w:after="0"/>
        <w:rPr>
          <w:sz w:val="20"/>
          <w:szCs w:val="20"/>
          <w:color w:val="auto"/>
        </w:rPr>
      </w:pPr>
      <w:r>
        <w:rPr>
          <w:rFonts w:ascii="Arial" w:cs="Arial" w:eastAsia="Arial" w:hAnsi="Arial"/>
          <w:sz w:val="12"/>
          <w:szCs w:val="12"/>
          <w:b w:val="1"/>
          <w:bCs w:val="1"/>
          <w:color w:val="auto"/>
        </w:rPr>
        <w:t>SIGNATURES</w:t>
      </w:r>
    </w:p>
    <w:p>
      <w:pPr>
        <w:spacing w:after="0" w:line="82"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00" w:type="dxa"/>
            <w:vAlign w:val="bottom"/>
          </w:tcPr>
          <w:p>
            <w:pPr>
              <w:spacing w:after="0"/>
              <w:rPr>
                <w:sz w:val="13"/>
                <w:szCs w:val="13"/>
                <w:color w:val="auto"/>
              </w:rPr>
            </w:pPr>
          </w:p>
        </w:tc>
        <w:tc>
          <w:tcPr>
            <w:tcW w:w="8300" w:type="dxa"/>
            <w:vAlign w:val="bottom"/>
            <w:gridSpan w:val="2"/>
          </w:tcPr>
          <w:p>
            <w:pPr>
              <w:ind w:left="2040"/>
              <w:spacing w:after="0"/>
              <w:rPr>
                <w:sz w:val="20"/>
                <w:szCs w:val="20"/>
                <w:color w:val="auto"/>
              </w:rPr>
            </w:pPr>
            <w:r>
              <w:rPr>
                <w:rFonts w:ascii="Arial" w:cs="Arial" w:eastAsia="Arial" w:hAnsi="Arial"/>
                <w:sz w:val="12"/>
                <w:szCs w:val="12"/>
                <w:color w:val="auto"/>
              </w:rPr>
              <w:t>Soleno Therapeutics, Inc.</w:t>
            </w:r>
          </w:p>
        </w:tc>
      </w:tr>
      <w:tr>
        <w:trPr>
          <w:trHeight w:val="288"/>
        </w:trPr>
        <w:tc>
          <w:tcPr>
            <w:tcW w:w="3000" w:type="dxa"/>
            <w:vAlign w:val="bottom"/>
          </w:tcPr>
          <w:p>
            <w:pPr>
              <w:spacing w:after="0"/>
              <w:rPr>
                <w:sz w:val="20"/>
                <w:szCs w:val="20"/>
                <w:color w:val="auto"/>
              </w:rPr>
            </w:pPr>
            <w:r>
              <w:rPr>
                <w:rFonts w:ascii="Arial" w:cs="Arial" w:eastAsia="Arial" w:hAnsi="Arial"/>
                <w:sz w:val="12"/>
                <w:szCs w:val="12"/>
                <w:color w:val="auto"/>
              </w:rPr>
              <w:t>Date: March 3, 2021</w:t>
            </w:r>
          </w:p>
        </w:tc>
        <w:tc>
          <w:tcPr>
            <w:tcW w:w="8300" w:type="dxa"/>
            <w:vAlign w:val="bottom"/>
            <w:gridSpan w:val="2"/>
          </w:tcPr>
          <w:p>
            <w:pPr>
              <w:ind w:left="2660"/>
              <w:spacing w:after="0"/>
              <w:rPr>
                <w:sz w:val="20"/>
                <w:szCs w:val="20"/>
                <w:color w:val="auto"/>
              </w:rPr>
            </w:pPr>
            <w:r>
              <w:rPr>
                <w:rFonts w:ascii="Arial" w:cs="Arial" w:eastAsia="Arial" w:hAnsi="Arial"/>
                <w:sz w:val="12"/>
                <w:szCs w:val="12"/>
                <w:color w:val="auto"/>
              </w:rPr>
              <w:t>By:   /S/ ANISH BHATNAGAR</w:t>
            </w:r>
          </w:p>
        </w:tc>
      </w:tr>
      <w:tr>
        <w:trPr>
          <w:trHeight w:val="142"/>
        </w:trPr>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President and Chief Executive Officer</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82" w:lineRule="exact"/>
        <w:rPr>
          <w:sz w:val="20"/>
          <w:szCs w:val="20"/>
          <w:color w:val="auto"/>
        </w:rPr>
      </w:pPr>
    </w:p>
    <w:p>
      <w:pPr>
        <w:jc w:val="both"/>
        <w:ind w:right="100" w:firstLine="592"/>
        <w:spacing w:after="0" w:line="289" w:lineRule="auto"/>
        <w:rPr>
          <w:sz w:val="20"/>
          <w:szCs w:val="20"/>
          <w:color w:val="auto"/>
        </w:rPr>
      </w:pPr>
      <w:r>
        <w:rPr>
          <w:rFonts w:ascii="Arial" w:cs="Arial" w:eastAsia="Arial" w:hAnsi="Arial"/>
          <w:sz w:val="11"/>
          <w:szCs w:val="11"/>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4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4380" w:type="dxa"/>
            <w:vAlign w:val="bottom"/>
          </w:tcPr>
          <w:p>
            <w:pPr>
              <w:ind w:left="2060"/>
              <w:spacing w:after="0"/>
              <w:rPr>
                <w:sz w:val="20"/>
                <w:szCs w:val="20"/>
                <w:color w:val="auto"/>
              </w:rPr>
            </w:pPr>
            <w:r>
              <w:rPr>
                <w:rFonts w:ascii="Arial" w:cs="Arial" w:eastAsia="Arial" w:hAnsi="Arial"/>
                <w:sz w:val="10"/>
                <w:szCs w:val="10"/>
                <w:b w:val="1"/>
                <w:bCs w:val="1"/>
                <w:color w:val="auto"/>
              </w:rPr>
              <w:t>Title</w:t>
            </w:r>
          </w:p>
        </w:tc>
        <w:tc>
          <w:tcPr>
            <w:tcW w:w="1200" w:type="dxa"/>
            <w:vAlign w:val="bottom"/>
          </w:tcPr>
          <w:p>
            <w:pPr>
              <w:ind w:left="800"/>
              <w:spacing w:after="0"/>
              <w:rPr>
                <w:sz w:val="20"/>
                <w:szCs w:val="20"/>
                <w:color w:val="auto"/>
              </w:rPr>
            </w:pPr>
            <w:r>
              <w:rPr>
                <w:rFonts w:ascii="Arial" w:cs="Arial" w:eastAsia="Arial" w:hAnsi="Arial"/>
                <w:sz w:val="10"/>
                <w:szCs w:val="10"/>
                <w:b w:val="1"/>
                <w:bCs w:val="1"/>
                <w:color w:val="auto"/>
              </w:rPr>
              <w:t>Date</w:t>
            </w:r>
          </w:p>
        </w:tc>
      </w:tr>
      <w:tr>
        <w:trPr>
          <w:trHeight w:val="278"/>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ANISH BHATNAGAR</w:t>
            </w:r>
          </w:p>
        </w:tc>
        <w:tc>
          <w:tcPr>
            <w:tcW w:w="4380" w:type="dxa"/>
            <w:vAlign w:val="bottom"/>
          </w:tcPr>
          <w:p>
            <w:pPr>
              <w:ind w:left="160"/>
              <w:spacing w:after="0"/>
              <w:rPr>
                <w:sz w:val="20"/>
                <w:szCs w:val="20"/>
                <w:color w:val="auto"/>
              </w:rPr>
            </w:pPr>
            <w:r>
              <w:rPr>
                <w:rFonts w:ascii="Arial" w:cs="Arial" w:eastAsia="Arial" w:hAnsi="Arial"/>
                <w:sz w:val="12"/>
                <w:szCs w:val="12"/>
                <w:color w:val="auto"/>
              </w:rPr>
              <w:t>President, Chief Executive Officer and Director (Principal Executive Officer)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0"/>
              </w:rPr>
              <w:t>Anish Bhatnagar</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JAMES MACKANESS</w:t>
            </w:r>
          </w:p>
        </w:tc>
        <w:tc>
          <w:tcPr>
            <w:tcW w:w="4380" w:type="dxa"/>
            <w:vAlign w:val="bottom"/>
          </w:tcPr>
          <w:p>
            <w:pPr>
              <w:ind w:left="160"/>
              <w:spacing w:after="0"/>
              <w:rPr>
                <w:sz w:val="20"/>
                <w:szCs w:val="20"/>
                <w:color w:val="auto"/>
              </w:rPr>
            </w:pPr>
            <w:r>
              <w:rPr>
                <w:rFonts w:ascii="Arial" w:cs="Arial" w:eastAsia="Arial" w:hAnsi="Arial"/>
                <w:sz w:val="12"/>
                <w:szCs w:val="12"/>
                <w:color w:val="auto"/>
              </w:rPr>
              <w:t>Chief Financial Officer (Principal Financial and Accounting Officer)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84"/>
              </w:rPr>
              <w:t>James Mackaness</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ERNEST MARIO</w:t>
            </w:r>
          </w:p>
        </w:tc>
        <w:tc>
          <w:tcPr>
            <w:tcW w:w="4380" w:type="dxa"/>
            <w:vAlign w:val="bottom"/>
          </w:tcPr>
          <w:p>
            <w:pPr>
              <w:ind w:left="160"/>
              <w:spacing w:after="0"/>
              <w:rPr>
                <w:sz w:val="20"/>
                <w:szCs w:val="20"/>
                <w:color w:val="auto"/>
              </w:rPr>
            </w:pPr>
            <w:r>
              <w:rPr>
                <w:rFonts w:ascii="Arial" w:cs="Arial" w:eastAsia="Arial" w:hAnsi="Arial"/>
                <w:sz w:val="12"/>
                <w:szCs w:val="12"/>
                <w:color w:val="auto"/>
              </w:rPr>
              <w:t>Chairman</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4"/>
              </w:rPr>
              <w:t>Ernest Mario</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ANDREW SINCLAIR</w:t>
            </w:r>
          </w:p>
        </w:tc>
        <w:tc>
          <w:tcPr>
            <w:tcW w:w="4380" w:type="dxa"/>
            <w:vAlign w:val="bottom"/>
          </w:tcPr>
          <w:p>
            <w:pPr>
              <w:ind w:left="160"/>
              <w:spacing w:after="0"/>
              <w:rPr>
                <w:sz w:val="20"/>
                <w:szCs w:val="20"/>
                <w:color w:val="auto"/>
              </w:rPr>
            </w:pPr>
            <w:r>
              <w:rPr>
                <w:rFonts w:ascii="Arial" w:cs="Arial" w:eastAsia="Arial" w:hAnsi="Arial"/>
                <w:sz w:val="12"/>
                <w:szCs w:val="12"/>
                <w:color w:val="auto"/>
              </w:rPr>
              <w:t>Director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5"/>
              </w:rPr>
              <w:t>Andrew Sinclair</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WILLIAM G. HARRIS</w:t>
            </w:r>
          </w:p>
        </w:tc>
        <w:tc>
          <w:tcPr>
            <w:tcW w:w="4380" w:type="dxa"/>
            <w:vAlign w:val="bottom"/>
          </w:tcPr>
          <w:p>
            <w:pPr>
              <w:ind w:left="160"/>
              <w:spacing w:after="0"/>
              <w:rPr>
                <w:sz w:val="20"/>
                <w:szCs w:val="20"/>
                <w:color w:val="auto"/>
              </w:rPr>
            </w:pPr>
            <w:r>
              <w:rPr>
                <w:rFonts w:ascii="Arial" w:cs="Arial" w:eastAsia="Arial" w:hAnsi="Arial"/>
                <w:sz w:val="12"/>
                <w:szCs w:val="12"/>
                <w:color w:val="auto"/>
              </w:rPr>
              <w:t>Director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7"/>
              </w:rPr>
              <w:t>William G. Harris</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GWEN MELINCOFF</w:t>
            </w:r>
          </w:p>
        </w:tc>
        <w:tc>
          <w:tcPr>
            <w:tcW w:w="4380" w:type="dxa"/>
            <w:vAlign w:val="bottom"/>
          </w:tcPr>
          <w:p>
            <w:pPr>
              <w:ind w:left="160"/>
              <w:spacing w:after="0"/>
              <w:rPr>
                <w:sz w:val="20"/>
                <w:szCs w:val="20"/>
                <w:color w:val="auto"/>
              </w:rPr>
            </w:pPr>
            <w:r>
              <w:rPr>
                <w:rFonts w:ascii="Arial" w:cs="Arial" w:eastAsia="Arial" w:hAnsi="Arial"/>
                <w:sz w:val="12"/>
                <w:szCs w:val="12"/>
                <w:color w:val="auto"/>
              </w:rPr>
              <w:t>Director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6"/>
              </w:rPr>
              <w:t>Gwen Melincoff</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97"/>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BIRGITTE VOLCK</w:t>
            </w:r>
          </w:p>
        </w:tc>
        <w:tc>
          <w:tcPr>
            <w:tcW w:w="4380" w:type="dxa"/>
            <w:vAlign w:val="bottom"/>
          </w:tcPr>
          <w:p>
            <w:pPr>
              <w:ind w:left="160"/>
              <w:spacing w:after="0"/>
              <w:rPr>
                <w:sz w:val="20"/>
                <w:szCs w:val="20"/>
                <w:color w:val="auto"/>
              </w:rPr>
            </w:pPr>
            <w:r>
              <w:rPr>
                <w:rFonts w:ascii="Arial" w:cs="Arial" w:eastAsia="Arial" w:hAnsi="Arial"/>
                <w:sz w:val="12"/>
                <w:szCs w:val="12"/>
                <w:color w:val="auto"/>
              </w:rPr>
              <w:t>Director</w:t>
            </w:r>
          </w:p>
        </w:tc>
        <w:tc>
          <w:tcPr>
            <w:tcW w:w="1200" w:type="dxa"/>
            <w:vAlign w:val="bottom"/>
          </w:tcPr>
          <w:p>
            <w:pPr>
              <w:ind w:left="500"/>
              <w:spacing w:after="0"/>
              <w:rPr>
                <w:sz w:val="20"/>
                <w:szCs w:val="20"/>
                <w:color w:val="auto"/>
              </w:rPr>
            </w:pPr>
            <w:r>
              <w:rPr>
                <w:rFonts w:ascii="Arial" w:cs="Arial" w:eastAsia="Arial" w:hAnsi="Arial"/>
                <w:sz w:val="12"/>
                <w:szCs w:val="12"/>
                <w:color w:val="auto"/>
                <w:w w:val="88"/>
              </w:rPr>
              <w:t>March 3, 2021</w:t>
            </w:r>
          </w:p>
        </w:tc>
      </w:tr>
      <w:tr>
        <w:trPr>
          <w:trHeight w:val="151"/>
        </w:trPr>
        <w:tc>
          <w:tcPr>
            <w:tcW w:w="5040" w:type="dxa"/>
            <w:vAlign w:val="bottom"/>
          </w:tcPr>
          <w:p>
            <w:pPr>
              <w:jc w:val="center"/>
              <w:spacing w:after="0"/>
              <w:rPr>
                <w:sz w:val="20"/>
                <w:szCs w:val="20"/>
                <w:color w:val="auto"/>
              </w:rPr>
            </w:pPr>
            <w:r>
              <w:rPr>
                <w:rFonts w:ascii="Arial" w:cs="Arial" w:eastAsia="Arial" w:hAnsi="Arial"/>
                <w:sz w:val="12"/>
                <w:szCs w:val="12"/>
                <w:color w:val="auto"/>
                <w:w w:val="97"/>
              </w:rPr>
              <w:t>Birgitte Volck</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585"/>
        </w:trPr>
        <w:tc>
          <w:tcPr>
            <w:tcW w:w="5040" w:type="dxa"/>
            <w:vAlign w:val="bottom"/>
          </w:tcPr>
          <w:p>
            <w:pPr>
              <w:spacing w:after="0"/>
              <w:rPr>
                <w:sz w:val="24"/>
                <w:szCs w:val="24"/>
                <w:color w:val="auto"/>
              </w:rPr>
            </w:pPr>
          </w:p>
        </w:tc>
        <w:tc>
          <w:tcPr>
            <w:tcW w:w="4380" w:type="dxa"/>
            <w:vAlign w:val="bottom"/>
          </w:tcPr>
          <w:p>
            <w:pPr>
              <w:ind w:left="540"/>
              <w:spacing w:after="0"/>
              <w:rPr>
                <w:sz w:val="20"/>
                <w:szCs w:val="20"/>
                <w:color w:val="auto"/>
              </w:rPr>
            </w:pPr>
            <w:r>
              <w:rPr>
                <w:rFonts w:ascii="Arial" w:cs="Arial" w:eastAsia="Arial" w:hAnsi="Arial"/>
                <w:sz w:val="12"/>
                <w:szCs w:val="12"/>
                <w:color w:val="auto"/>
              </w:rPr>
              <w:t>97</w:t>
            </w:r>
          </w:p>
        </w:tc>
        <w:tc>
          <w:tcPr>
            <w:tcW w:w="1200" w:type="dxa"/>
            <w:vAlign w:val="bottom"/>
          </w:tcPr>
          <w:p>
            <w:pPr>
              <w:spacing w:after="0"/>
              <w:rPr>
                <w:sz w:val="24"/>
                <w:szCs w:val="24"/>
                <w:color w:val="auto"/>
              </w:rPr>
            </w:pPr>
          </w:p>
        </w:tc>
      </w:tr>
    </w:tbl>
    <w:p>
      <w:pPr>
        <w:sectPr>
          <w:pgSz w:w="11900" w:h="16838" w:orient="portrait"/>
          <w:cols w:equalWidth="0" w:num="1">
            <w:col w:w="11300"/>
          </w:cols>
          <w:pgMar w:left="300" w:top="271" w:right="299" w:bottom="1440" w:gutter="0" w:footer="0" w:header="0"/>
        </w:sectPr>
      </w:pPr>
    </w:p>
    <w:bookmarkStart w:id="99" w:name="page100"/>
    <w:bookmarkEnd w:id="99"/>
    <w:p>
      <w:pPr>
        <w:jc w:val="right"/>
        <w:spacing w:after="0"/>
        <w:rPr>
          <w:sz w:val="20"/>
          <w:szCs w:val="20"/>
          <w:color w:val="auto"/>
        </w:rPr>
      </w:pPr>
      <w:r>
        <w:rPr>
          <w:rFonts w:ascii="Arial" w:cs="Arial" w:eastAsia="Arial" w:hAnsi="Arial"/>
          <w:sz w:val="12"/>
          <w:szCs w:val="12"/>
          <w:b w:val="1"/>
          <w:bCs w:val="1"/>
          <w:color w:val="auto"/>
        </w:rPr>
        <w:t>Exhibit 21.1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of Soleno Therapeutics, Inc.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Subsidiary</w:t>
            </w:r>
          </w:p>
        </w:tc>
        <w:tc>
          <w:tcPr>
            <w:tcW w:w="5540" w:type="dxa"/>
            <w:vAlign w:val="bottom"/>
          </w:tcPr>
          <w:p>
            <w:pPr>
              <w:spacing w:after="0"/>
              <w:rPr>
                <w:sz w:val="20"/>
                <w:szCs w:val="20"/>
                <w:color w:val="auto"/>
              </w:rPr>
            </w:pPr>
            <w:r>
              <w:rPr>
                <w:rFonts w:ascii="Arial" w:cs="Arial" w:eastAsia="Arial" w:hAnsi="Arial"/>
                <w:sz w:val="10"/>
                <w:szCs w:val="10"/>
                <w:b w:val="1"/>
                <w:bCs w:val="1"/>
                <w:color w:val="auto"/>
              </w:rPr>
              <w:t>Jurisdiction</w:t>
            </w:r>
          </w:p>
        </w:tc>
      </w:tr>
      <w:tr>
        <w:trPr>
          <w:trHeight w:val="124"/>
        </w:trPr>
        <w:tc>
          <w:tcPr>
            <w:tcW w:w="55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Soleno Therapeutics UK Ltd.</w:t>
            </w:r>
          </w:p>
        </w:tc>
        <w:tc>
          <w:tcPr>
            <w:tcW w:w="220" w:type="dxa"/>
            <w:vAlign w:val="bottom"/>
          </w:tcPr>
          <w:p>
            <w:pPr>
              <w:spacing w:after="0"/>
              <w:rPr>
                <w:sz w:val="10"/>
                <w:szCs w:val="10"/>
                <w:color w:val="auto"/>
              </w:rPr>
            </w:pPr>
          </w:p>
        </w:tc>
        <w:tc>
          <w:tcPr>
            <w:tcW w:w="55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Soleno Therapeutics Europe Ltd.</w:t>
            </w:r>
          </w:p>
        </w:tc>
        <w:tc>
          <w:tcPr>
            <w:tcW w:w="5540" w:type="dxa"/>
            <w:vAlign w:val="bottom"/>
          </w:tcPr>
          <w:p>
            <w:pPr>
              <w:spacing w:after="0"/>
              <w:rPr>
                <w:sz w:val="20"/>
                <w:szCs w:val="20"/>
                <w:color w:val="auto"/>
              </w:rPr>
            </w:pPr>
            <w:r>
              <w:rPr>
                <w:rFonts w:ascii="Arial" w:cs="Arial" w:eastAsia="Arial" w:hAnsi="Arial"/>
                <w:sz w:val="12"/>
                <w:szCs w:val="12"/>
                <w:color w:val="auto"/>
              </w:rPr>
              <w:t>Ireland</w:t>
            </w:r>
          </w:p>
        </w:tc>
      </w:tr>
      <w:tr>
        <w:trPr>
          <w:trHeight w:val="153"/>
        </w:trPr>
        <w:tc>
          <w:tcPr>
            <w:tcW w:w="5760" w:type="dxa"/>
            <w:vAlign w:val="bottom"/>
            <w:gridSpan w:val="2"/>
          </w:tcPr>
          <w:p>
            <w:pPr>
              <w:spacing w:after="0"/>
              <w:rPr>
                <w:sz w:val="20"/>
                <w:szCs w:val="20"/>
                <w:color w:val="auto"/>
              </w:rPr>
            </w:pPr>
            <w:r>
              <w:rPr>
                <w:rFonts w:ascii="Arial" w:cs="Arial" w:eastAsia="Arial" w:hAnsi="Arial"/>
                <w:sz w:val="12"/>
                <w:szCs w:val="12"/>
                <w:color w:val="auto"/>
              </w:rPr>
              <w:t>Essentialis, Inc.</w:t>
            </w:r>
          </w:p>
        </w:tc>
        <w:tc>
          <w:tcPr>
            <w:tcW w:w="5540" w:type="dxa"/>
            <w:vAlign w:val="bottom"/>
          </w:tcPr>
          <w:p>
            <w:pPr>
              <w:spacing w:after="0"/>
              <w:rPr>
                <w:sz w:val="20"/>
                <w:szCs w:val="20"/>
                <w:color w:val="auto"/>
              </w:rPr>
            </w:pPr>
            <w:r>
              <w:rPr>
                <w:rFonts w:ascii="Arial" w:cs="Arial" w:eastAsia="Arial" w:hAnsi="Arial"/>
                <w:sz w:val="12"/>
                <w:szCs w:val="12"/>
                <w:color w:val="auto"/>
              </w:rPr>
              <w:t>Delaware</w:t>
            </w:r>
          </w:p>
        </w:tc>
      </w:tr>
    </w:tbl>
    <w:p>
      <w:pPr>
        <w:sectPr>
          <w:pgSz w:w="11900" w:h="16838" w:orient="portrait"/>
          <w:cols w:equalWidth="0" w:num="1">
            <w:col w:w="11300"/>
          </w:cols>
          <w:pgMar w:left="300" w:top="127" w:right="2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INDEPENDENT REGISTERED PUBLIC ACCOUNTING FIRM’S CONSENT</w:t>
      </w:r>
    </w:p>
    <w:p>
      <w:pPr>
        <w:spacing w:after="0" w:line="16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consent to the incorporation by reference in the Registration Statement of Soleno Therapeutics, Inc. on Form S-8 (File No.’s 333-200175, 333-210563, 333-220056, 333-224070, 333-230402, 333-235999, 333-239496, 333-252014 and 333-252108) and Form S-3 (File No. 333-232068) of our report dated March 3, 2021, with respect to our audits of the consolidated financial statements of Soleno Therapeutics, Inc. as of December 31, 2020 and 2019 and for each of the two years in the period ended December 31, 2020, which report is included in this Annual Report on Form 10-K of Soleno Therapeutics, Inc. for the year ended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5890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3, 2021</w:t>
      </w:r>
    </w:p>
    <w:p>
      <w:pPr>
        <w:sectPr>
          <w:pgSz w:w="11900" w:h="16838" w:orient="portrait"/>
          <w:cols w:equalWidth="0" w:num="1">
            <w:col w:w="11300"/>
          </w:cols>
          <w:pgMar w:left="300" w:top="127" w:right="2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RULES 13A-14(A) AND 15D-14(A)</w:t>
      </w:r>
    </w:p>
    <w:p>
      <w:pPr>
        <w:spacing w:after="0" w:line="141" w:lineRule="exact"/>
        <w:rPr>
          <w:sz w:val="20"/>
          <w:szCs w:val="20"/>
          <w:color w:val="auto"/>
        </w:rPr>
      </w:pPr>
    </w:p>
    <w:p>
      <w:pPr>
        <w:ind w:left="608"/>
        <w:spacing w:after="0"/>
        <w:rPr>
          <w:sz w:val="20"/>
          <w:szCs w:val="20"/>
          <w:color w:val="auto"/>
        </w:rPr>
      </w:pPr>
      <w:r>
        <w:rPr>
          <w:rFonts w:ascii="Arial" w:cs="Arial" w:eastAsia="Arial" w:hAnsi="Arial"/>
          <w:sz w:val="12"/>
          <w:szCs w:val="12"/>
          <w:color w:val="auto"/>
        </w:rPr>
        <w:t>I, Anish Bhatnagar, M.D., certify that:</w:t>
      </w:r>
    </w:p>
    <w:p>
      <w:pPr>
        <w:spacing w:after="0" w:line="78" w:lineRule="exact"/>
        <w:rPr>
          <w:sz w:val="20"/>
          <w:szCs w:val="20"/>
          <w:color w:val="auto"/>
        </w:rPr>
      </w:pPr>
    </w:p>
    <w:p>
      <w:pPr>
        <w:ind w:left="608" w:hanging="608"/>
        <w:spacing w:after="0"/>
        <w:tabs>
          <w:tab w:leader="none" w:pos="6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Soleno Therapeutics, Inc.;</w:t>
      </w:r>
    </w:p>
    <w:p>
      <w:pPr>
        <w:spacing w:after="0" w:line="78" w:lineRule="exact"/>
        <w:rPr>
          <w:rFonts w:ascii="Arial" w:cs="Arial" w:eastAsia="Arial" w:hAnsi="Arial"/>
          <w:sz w:val="12"/>
          <w:szCs w:val="12"/>
          <w:color w:val="auto"/>
        </w:rPr>
      </w:pPr>
    </w:p>
    <w:p>
      <w:pPr>
        <w:ind w:left="608" w:right="60" w:hanging="608"/>
        <w:spacing w:after="0" w:line="276" w:lineRule="auto"/>
        <w:tabs>
          <w:tab w:leader="none" w:pos="6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608" w:right="60" w:hanging="608"/>
        <w:spacing w:after="0" w:line="276" w:lineRule="auto"/>
        <w:tabs>
          <w:tab w:leader="none" w:pos="6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608" w:right="260" w:hanging="608"/>
        <w:spacing w:after="0" w:line="276" w:lineRule="auto"/>
        <w:tabs>
          <w:tab w:leader="none" w:pos="6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228" w:right="20" w:hanging="616"/>
        <w:spacing w:after="0" w:line="276" w:lineRule="auto"/>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228" w:right="80" w:hanging="616"/>
        <w:spacing w:after="0" w:line="276" w:lineRule="auto"/>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228" w:right="160" w:hanging="616"/>
        <w:spacing w:after="0" w:line="276" w:lineRule="auto"/>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228" w:right="40" w:hanging="616"/>
        <w:spacing w:after="0" w:line="276" w:lineRule="auto"/>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608" w:right="40" w:hanging="608"/>
        <w:spacing w:after="0" w:line="276" w:lineRule="auto"/>
        <w:tabs>
          <w:tab w:leader="none" w:pos="60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228" w:right="20" w:hanging="616"/>
        <w:spacing w:after="0" w:line="276" w:lineRule="auto"/>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28" w:hanging="616"/>
        <w:spacing w:after="0"/>
        <w:tabs>
          <w:tab w:leader="none" w:pos="1228" w:val="left"/>
        </w:tabs>
        <w:numPr>
          <w:ilvl w:val="1"/>
          <w:numId w:val="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3, 2021</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4347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5">
                      <a:extLst>
                        <a:ext uri="{28A0092B-C50C-407E-A947-70E740481C1C}"/>
                      </a:extLst>
                    </a:blip>
                    <a:srcRect/>
                    <a:stretch>
                      <a:fillRect/>
                    </a:stretch>
                  </pic:blipFill>
                  <pic:spPr bwMode="auto">
                    <a:xfrm>
                      <a:off x="0" y="0"/>
                      <a:ext cx="3434715"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Anish Bhatnagar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President, Chief Executive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127"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FINANCIAL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RULES 13A-14(A) AND 15D-14(A)</w:t>
      </w:r>
    </w:p>
    <w:p>
      <w:pPr>
        <w:spacing w:after="0" w:line="141" w:lineRule="exact"/>
        <w:rPr>
          <w:sz w:val="20"/>
          <w:szCs w:val="20"/>
          <w:color w:val="auto"/>
        </w:rPr>
      </w:pPr>
    </w:p>
    <w:p>
      <w:pPr>
        <w:ind w:left="608"/>
        <w:spacing w:after="0"/>
        <w:rPr>
          <w:sz w:val="20"/>
          <w:szCs w:val="20"/>
          <w:color w:val="auto"/>
        </w:rPr>
      </w:pPr>
      <w:r>
        <w:rPr>
          <w:rFonts w:ascii="Arial" w:cs="Arial" w:eastAsia="Arial" w:hAnsi="Arial"/>
          <w:sz w:val="12"/>
          <w:szCs w:val="12"/>
          <w:color w:val="auto"/>
        </w:rPr>
        <w:t>I, James Mackaness, certify that:</w:t>
      </w:r>
    </w:p>
    <w:p>
      <w:pPr>
        <w:spacing w:after="0" w:line="78" w:lineRule="exact"/>
        <w:rPr>
          <w:sz w:val="20"/>
          <w:szCs w:val="20"/>
          <w:color w:val="auto"/>
        </w:rPr>
      </w:pPr>
    </w:p>
    <w:p>
      <w:pPr>
        <w:ind w:left="608" w:hanging="608"/>
        <w:spacing w:after="0"/>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Soleno Therapeutics, Inc.;</w:t>
      </w:r>
    </w:p>
    <w:p>
      <w:pPr>
        <w:spacing w:after="0" w:line="78" w:lineRule="exact"/>
        <w:rPr>
          <w:rFonts w:ascii="Arial" w:cs="Arial" w:eastAsia="Arial" w:hAnsi="Arial"/>
          <w:sz w:val="12"/>
          <w:szCs w:val="12"/>
          <w:color w:val="auto"/>
        </w:rPr>
      </w:pPr>
    </w:p>
    <w:p>
      <w:pPr>
        <w:ind w:left="608" w:right="60" w:hanging="608"/>
        <w:spacing w:after="0" w:line="276" w:lineRule="auto"/>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608" w:right="60" w:hanging="608"/>
        <w:spacing w:after="0" w:line="276" w:lineRule="auto"/>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608" w:right="260" w:hanging="608"/>
        <w:spacing w:after="0" w:line="276" w:lineRule="auto"/>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228" w:right="20" w:hanging="616"/>
        <w:spacing w:after="0" w:line="276" w:lineRule="auto"/>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228" w:right="80" w:hanging="616"/>
        <w:spacing w:after="0" w:line="276" w:lineRule="auto"/>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228" w:right="160" w:hanging="616"/>
        <w:spacing w:after="0" w:line="276" w:lineRule="auto"/>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228" w:right="40" w:hanging="616"/>
        <w:spacing w:after="0" w:line="276" w:lineRule="auto"/>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608" w:right="40" w:hanging="608"/>
        <w:spacing w:after="0" w:line="276" w:lineRule="auto"/>
        <w:tabs>
          <w:tab w:leader="none" w:pos="6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228" w:right="20" w:hanging="616"/>
        <w:spacing w:after="0" w:line="276" w:lineRule="auto"/>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28" w:hanging="616"/>
        <w:spacing w:after="0"/>
        <w:tabs>
          <w:tab w:leader="none" w:pos="1228" w:val="left"/>
        </w:tabs>
        <w:numPr>
          <w:ilvl w:val="1"/>
          <w:numId w:val="6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3, 2021</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4347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6">
                      <a:extLst>
                        <a:ext uri="{28A0092B-C50C-407E-A947-70E740481C1C}"/>
                      </a:extLst>
                    </a:blip>
                    <a:srcRect/>
                    <a:stretch>
                      <a:fillRect/>
                    </a:stretch>
                  </pic:blipFill>
                  <pic:spPr bwMode="auto">
                    <a:xfrm>
                      <a:off x="0" y="0"/>
                      <a:ext cx="3434715"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James Mackaness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financial and accounting officer)</w:t>
      </w:r>
    </w:p>
    <w:p>
      <w:pPr>
        <w:sectPr>
          <w:pgSz w:w="11900" w:h="16838" w:orient="portrait"/>
          <w:cols w:equalWidth="0" w:num="1">
            <w:col w:w="11308"/>
          </w:cols>
          <w:pgMar w:left="292" w:top="127" w:right="2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connection with the Annual Report of Soleno Therapeutics, Inc. (the “Company”) on Form 10-K for the fiscal year ended December 31, 2020,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43" w:lineRule="exact"/>
        <w:rPr>
          <w:sz w:val="20"/>
          <w:szCs w:val="20"/>
          <w:color w:val="auto"/>
        </w:rPr>
      </w:pPr>
    </w:p>
    <w:p>
      <w:pPr>
        <w:ind w:left="1220" w:hanging="463"/>
        <w:spacing w:after="0"/>
        <w:tabs>
          <w:tab w:leader="none" w:pos="12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220" w:hanging="463"/>
        <w:spacing w:after="0"/>
        <w:tabs>
          <w:tab w:leader="none" w:pos="12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information in the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Date: March 3, 2021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64592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7">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Anish Bhatnagar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0"/>
          </w:cols>
          <w:pgMar w:left="300" w:top="127"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connection with the Annual Report of Soleno Therapeutics, Inc. (the “Company”) on Form 10-K for the fiscal year ended December 31, 2020, as filed with the Securities and Exchange Commission (the “Report”), James Mackaness, Chief Financial Officer of the Company, do hereby certify, pursuant to 18 U.S.C. Section 1350, as adopted pursuant to Section 906 of the Sarbanes-Oxley Act of 2002, that:</w:t>
      </w:r>
    </w:p>
    <w:p>
      <w:pPr>
        <w:spacing w:after="0" w:line="43" w:lineRule="exact"/>
        <w:rPr>
          <w:sz w:val="20"/>
          <w:szCs w:val="20"/>
          <w:color w:val="auto"/>
        </w:rPr>
      </w:pPr>
    </w:p>
    <w:p>
      <w:pPr>
        <w:ind w:left="1220" w:hanging="463"/>
        <w:spacing w:after="0"/>
        <w:tabs>
          <w:tab w:leader="none" w:pos="1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220" w:hanging="463"/>
        <w:spacing w:after="0"/>
        <w:tabs>
          <w:tab w:leader="none" w:pos="1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information in the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Date: March 3, 2021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64592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8">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James Mackaness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and accounting officer)</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2"/>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45" Type="http://schemas.openxmlformats.org/officeDocument/2006/relationships/image" Target="media/image107.png"/><Relationship Id="rId164" Type="http://schemas.openxmlformats.org/officeDocument/2006/relationships/image" Target="media/image108.png"/><Relationship Id="rId177" Type="http://schemas.openxmlformats.org/officeDocument/2006/relationships/image" Target="media/image109.png"/><Relationship Id="rId194" Type="http://schemas.openxmlformats.org/officeDocument/2006/relationships/image" Target="media/image110.png"/><Relationship Id="rId208" Type="http://schemas.openxmlformats.org/officeDocument/2006/relationships/image" Target="media/image111.png"/><Relationship Id="rId212" Type="http://schemas.openxmlformats.org/officeDocument/2006/relationships/image" Target="media/image112.png"/><Relationship Id="rId213" Type="http://schemas.openxmlformats.org/officeDocument/2006/relationships/image" Target="media/image113.png"/><Relationship Id="rId214" Type="http://schemas.openxmlformats.org/officeDocument/2006/relationships/image" Target="media/image114.png"/><Relationship Id="rId215" Type="http://schemas.openxmlformats.org/officeDocument/2006/relationships/image" Target="media/image115.png"/><Relationship Id="rId216" Type="http://schemas.openxmlformats.org/officeDocument/2006/relationships/image" Target="media/image116.png"/><Relationship Id="rId217" Type="http://schemas.openxmlformats.org/officeDocument/2006/relationships/image" Target="media/image117.png"/><Relationship Id="rId218" Type="http://schemas.openxmlformats.org/officeDocument/2006/relationships/image" Target="media/image118.png"/><Relationship Id="rId112" Type="http://schemas.openxmlformats.org/officeDocument/2006/relationships/hyperlink" Target="http://www.sec.gov/Archives/edgar/data/1484565/000162828017007221/ehx21.htm" TargetMode="External"/><Relationship Id="rId113" Type="http://schemas.openxmlformats.org/officeDocument/2006/relationships/hyperlink" Target="http://www.sec.gov/Archives/edgar/data/1484565/000162828017012274/ex21soleno-captainjvagreem.htm" TargetMode="External"/><Relationship Id="rId114" Type="http://schemas.openxmlformats.org/officeDocument/2006/relationships/hyperlink" Target="http://www.sec.gov/Archives/edgar/data/1484565/000162828017012274/ex22ippurchaseagreement.htm" TargetMode="External"/><Relationship Id="rId115" Type="http://schemas.openxmlformats.org/officeDocument/2006/relationships/hyperlink" Target="http://www.sec.gov/Archives/edgar/data/1484565/000162828017012274/ex23soleno-transitionservi.htm" TargetMode="External"/><Relationship Id="rId116" Type="http://schemas.openxmlformats.org/officeDocument/2006/relationships/hyperlink" Target="http://www.sec.gov/Archives/edgar/data/1484565/000119312514300848/d711637dex32.htm" TargetMode="External"/><Relationship Id="rId117" Type="http://schemas.openxmlformats.org/officeDocument/2006/relationships/hyperlink" Target="http://www.sec.gov/Archives/edgar/data/1484565/000119312514256995/d711637dex34.htm" TargetMode="External"/><Relationship Id="rId118" Type="http://schemas.openxmlformats.org/officeDocument/2006/relationships/hyperlink" Target="http://www.sec.gov/Archives/edgar/data/1484565/000119312515344002/d67111dex31.htm" TargetMode="External"/><Relationship Id="rId119" Type="http://schemas.openxmlformats.org/officeDocument/2006/relationships/hyperlink" Target="http://www.sec.gov/Archives/edgar/data/1484565/000119312516642505/d221558dex31.htm" TargetMode="External"/><Relationship Id="rId120" Type="http://schemas.openxmlformats.org/officeDocument/2006/relationships/hyperlink" Target="http://www.sec.gov/Archives/edgar/data/1484565/000162828017005427/exhibit31.htm" TargetMode="External"/><Relationship Id="rId121" Type="http://schemas.openxmlformats.org/officeDocument/2006/relationships/hyperlink" Target="http://www.sec.gov/Archives/edgar/data/1484565/000162828017009761/soleno-certificateofamendm.htm" TargetMode="External"/><Relationship Id="rId122" Type="http://schemas.openxmlformats.org/officeDocument/2006/relationships/hyperlink" Target="http://www.sec.gov/Archives/edgar/data/1484565/000119312514293949/d711637dex41.htm" TargetMode="External"/><Relationship Id="rId123" Type="http://schemas.openxmlformats.org/officeDocument/2006/relationships/hyperlink" Target="http://www.sec.gov/Archives/edgar/data/1484565/000119312514256995/d711637dex42.htm" TargetMode="External"/><Relationship Id="rId124" Type="http://schemas.openxmlformats.org/officeDocument/2006/relationships/hyperlink" Target="http://www.sec.gov/Archives/edgar/data/1484565/000119312514293949/d711637dex43.htm" TargetMode="External"/><Relationship Id="rId125" Type="http://schemas.openxmlformats.org/officeDocument/2006/relationships/hyperlink" Target="http://www.sec.gov/Archives/edgar/data/1484565/000119312514293949/d711637dex44.htm" TargetMode="External"/><Relationship Id="rId126" Type="http://schemas.openxmlformats.org/officeDocument/2006/relationships/hyperlink" Target="http://www.sec.gov/Archives/edgar/data/1484565/000119312514293949/d711637dex45.htm" TargetMode="External"/><Relationship Id="rId129" Type="http://schemas.openxmlformats.org/officeDocument/2006/relationships/hyperlink" Target="http://www.sec.gov/Archives/edgar/data/1484565/000119312514231812/d711637dex46.htm" TargetMode="External"/><Relationship Id="rId130" Type="http://schemas.openxmlformats.org/officeDocument/2006/relationships/hyperlink" Target="http://www.sec.gov/Archives/edgar/data/1484565/000119312514231812/d711637dex47.htm" TargetMode="External"/><Relationship Id="rId131" Type="http://schemas.openxmlformats.org/officeDocument/2006/relationships/hyperlink" Target="http://www.sec.gov/Archives/edgar/data/1484565/000119312514231812/d711637dex48.htm" TargetMode="External"/><Relationship Id="rId132" Type="http://schemas.openxmlformats.org/officeDocument/2006/relationships/hyperlink" Target="http://www.sec.gov/Archives/edgar/data/1484565/000119312514231812/d711637dex49.htm" TargetMode="External"/><Relationship Id="rId133" Type="http://schemas.openxmlformats.org/officeDocument/2006/relationships/hyperlink" Target="http://www.sec.gov/Archives/edgar/data/1484565/000119312514231812/d711637dex410.htm" TargetMode="External"/><Relationship Id="rId134" Type="http://schemas.openxmlformats.org/officeDocument/2006/relationships/hyperlink" Target="http://www.sec.gov/Archives/edgar/data/1484565/000119312514231812/d711637dex411.htm" TargetMode="External"/><Relationship Id="rId135" Type="http://schemas.openxmlformats.org/officeDocument/2006/relationships/hyperlink" Target="http://www.sec.gov/Archives/edgar/data/1484565/000119312514231812/d711637dex412.htm" TargetMode="External"/><Relationship Id="rId136" Type="http://schemas.openxmlformats.org/officeDocument/2006/relationships/hyperlink" Target="http://www.sec.gov/Archives/edgar/data/1484565/000119312514231812/d711637dex413.htm" TargetMode="External"/><Relationship Id="rId137" Type="http://schemas.openxmlformats.org/officeDocument/2006/relationships/hyperlink" Target="http://www.sec.gov/Archives/edgar/data/1484565/000119312514231812/d711637dex414.htm" TargetMode="External"/><Relationship Id="rId138" Type="http://schemas.openxmlformats.org/officeDocument/2006/relationships/hyperlink" Target="http://www.sec.gov/Archives/edgar/data/1484565/000119312514231812/d711637dex415.htm" TargetMode="External"/><Relationship Id="rId139" Type="http://schemas.openxmlformats.org/officeDocument/2006/relationships/hyperlink" Target="http://www.sec.gov/Archives/edgar/data/1484565/000119312514293949/d711637dex416.htm" TargetMode="External"/><Relationship Id="rId140" Type="http://schemas.openxmlformats.org/officeDocument/2006/relationships/hyperlink" Target="http://www.sec.gov/Archives/edgar/data/1484565/000119312514396517/d711637dex417.htm" TargetMode="External"/><Relationship Id="rId141" Type="http://schemas.openxmlformats.org/officeDocument/2006/relationships/hyperlink" Target="http://www.sec.gov/Archives/edgar/data/1484565/000119312514396517/d711637dex418.htm" TargetMode="External"/><Relationship Id="rId142" Type="http://schemas.openxmlformats.org/officeDocument/2006/relationships/hyperlink" Target="http://www.sec.gov/Archives/edgar/data/1484565/000119312515114723/d893037dex419.htm" TargetMode="External"/><Relationship Id="rId143" Type="http://schemas.openxmlformats.org/officeDocument/2006/relationships/hyperlink" Target="http://www.sec.gov/Archives/edgar/data/1484565/000119312515114723/d893037dex420.htm" TargetMode="External"/><Relationship Id="rId144" Type="http://schemas.openxmlformats.org/officeDocument/2006/relationships/hyperlink" Target="http://www.sec.gov/Archives/edgar/data/1484565/000119312515344002/d67111dex41.htm" TargetMode="External"/><Relationship Id="rId146" Type="http://schemas.openxmlformats.org/officeDocument/2006/relationships/hyperlink" Target="http://www.sec.gov/Archives/edgar/data/1484565/000119312515344002/d67111dex42.htm" TargetMode="External"/><Relationship Id="rId147" Type="http://schemas.openxmlformats.org/officeDocument/2006/relationships/hyperlink" Target="http://www.sec.gov/Archives/edgar/data/1484565/000119312515344002/d67111dex43.htm" TargetMode="External"/><Relationship Id="rId148" Type="http://schemas.openxmlformats.org/officeDocument/2006/relationships/hyperlink" Target="http://www.sec.gov/Archives/edgar/data/1484565/000119312515344002/d67111dex44.htm" TargetMode="External"/><Relationship Id="rId149" Type="http://schemas.openxmlformats.org/officeDocument/2006/relationships/hyperlink" Target="http://www.sec.gov/Archives/edgar/data/1484565/000119312516642505/d221558dex41.htm" TargetMode="External"/><Relationship Id="rId150" Type="http://schemas.openxmlformats.org/officeDocument/2006/relationships/hyperlink" Target="http://www.sec.gov/Archives/edgar/data/1484565/000119312516642505/d221558dex42.htm" TargetMode="External"/><Relationship Id="rId151" Type="http://schemas.openxmlformats.org/officeDocument/2006/relationships/hyperlink" Target="http://www.sec.gov/Archives/edgar/data/1484565/000148456517000004/ex41commonstockwarrant.htm" TargetMode="External"/><Relationship Id="rId152" Type="http://schemas.openxmlformats.org/officeDocument/2006/relationships/hyperlink" Target="http://www.sec.gov/Archives/edgar/data/1484565/000156459020008705/slno-ex429_382.htm" TargetMode="External"/><Relationship Id="rId153" Type="http://schemas.openxmlformats.org/officeDocument/2006/relationships/hyperlink" Target="http://www.sec.gov/Archives/edgar/data/1484565/000119312515344002/d67111dex91.htm" TargetMode="External"/><Relationship Id="rId154" Type="http://schemas.openxmlformats.org/officeDocument/2006/relationships/hyperlink" Target="http://www.sec.gov/Archives/edgar/data/1484565/000119312516642505/d221558dex91.htm" TargetMode="External"/><Relationship Id="rId155" Type="http://schemas.openxmlformats.org/officeDocument/2006/relationships/hyperlink" Target="http://www.sec.gov/Archives/edgar/data/1484565/000119312516803934/d282262dex101.htm" TargetMode="External"/><Relationship Id="rId156" Type="http://schemas.openxmlformats.org/officeDocument/2006/relationships/hyperlink" Target="http://www.sec.gov/Archives/edgar/data/1484565/000119312514231812/d711637dex101.htm" TargetMode="External"/><Relationship Id="rId157" Type="http://schemas.openxmlformats.org/officeDocument/2006/relationships/hyperlink" Target="http://www.sec.gov/Archives/edgar/data/1484565/000119312514231812/d711637dex102.htm" TargetMode="External"/><Relationship Id="rId158" Type="http://schemas.openxmlformats.org/officeDocument/2006/relationships/hyperlink" Target="http://www.sec.gov/Archives/edgar/data/1484565/000119312514231812/d711637dex103.htm" TargetMode="External"/><Relationship Id="rId159" Type="http://schemas.openxmlformats.org/officeDocument/2006/relationships/hyperlink" Target="http://www.sec.gov/Archives/edgar/data/1484565/000119312514256995/d711637dex104.htm" TargetMode="External"/><Relationship Id="rId160" Type="http://schemas.openxmlformats.org/officeDocument/2006/relationships/hyperlink" Target="http://www.sec.gov/Archives/edgar/data/1484565/000119312514256995/d711637dex105.htm" TargetMode="External"/><Relationship Id="rId161" Type="http://schemas.openxmlformats.org/officeDocument/2006/relationships/hyperlink" Target="http://www.sec.gov/Archives/edgar/data/1484565/000119312514231812/d711637dex106.htm" TargetMode="External"/><Relationship Id="rId162" Type="http://schemas.openxmlformats.org/officeDocument/2006/relationships/hyperlink" Target="http://www.sec.gov/Archives/edgar/data/1484565/000119312514231812/d711637dex107.htm" TargetMode="External"/><Relationship Id="rId163" Type="http://schemas.openxmlformats.org/officeDocument/2006/relationships/hyperlink" Target="http://www.sec.gov/Archives/edgar/data/1484565/000119312514231812/d711637dex108.htm" TargetMode="External"/><Relationship Id="rId165" Type="http://schemas.openxmlformats.org/officeDocument/2006/relationships/hyperlink" Target="http://www.sec.gov/Archives/edgar/data/1484565/000119312514231812/d711637dex109.htm" TargetMode="External"/><Relationship Id="rId166" Type="http://schemas.openxmlformats.org/officeDocument/2006/relationships/hyperlink" Target="http://www.sec.gov/Archives/edgar/data/1484565/000119312514231812/d711637dex1010.htm" TargetMode="External"/><Relationship Id="rId167" Type="http://schemas.openxmlformats.org/officeDocument/2006/relationships/hyperlink" Target="http://www.sec.gov/Archives/edgar/data/1484565/000119312514231812/d711637dex1011.htm" TargetMode="External"/><Relationship Id="rId168" Type="http://schemas.openxmlformats.org/officeDocument/2006/relationships/hyperlink" Target="http://www.sec.gov/Archives/edgar/data/1484565/000119312514231812/d711637dex1012.htm" TargetMode="External"/><Relationship Id="rId169" Type="http://schemas.openxmlformats.org/officeDocument/2006/relationships/hyperlink" Target="http://www.sec.gov/Archives/edgar/data/1484565/000119312514231812/d711637dex1013.htm" TargetMode="External"/><Relationship Id="rId170" Type="http://schemas.openxmlformats.org/officeDocument/2006/relationships/hyperlink" Target="http://www.sec.gov/Archives/edgar/data/1484565/000119312514231812/d711637dex1014.htm" TargetMode="External"/><Relationship Id="rId171" Type="http://schemas.openxmlformats.org/officeDocument/2006/relationships/hyperlink" Target="http://www.sec.gov/Archives/edgar/data/1484565/000119312514231812/d711637dex1015.htm" TargetMode="External"/><Relationship Id="rId172" Type="http://schemas.openxmlformats.org/officeDocument/2006/relationships/hyperlink" Target="http://www.sec.gov/Archives/edgar/data/1484565/000119312514231812/d711637dex1016.htm" TargetMode="External"/><Relationship Id="rId173" Type="http://schemas.openxmlformats.org/officeDocument/2006/relationships/hyperlink" Target="http://www.sec.gov/Archives/edgar/data/1484565/000119312514231812/d711637dex1017.htm" TargetMode="External"/><Relationship Id="rId174" Type="http://schemas.openxmlformats.org/officeDocument/2006/relationships/hyperlink" Target="http://www.sec.gov/Archives/edgar/data/1484565/000119312514231812/d711637dex1018.htm" TargetMode="External"/><Relationship Id="rId175" Type="http://schemas.openxmlformats.org/officeDocument/2006/relationships/hyperlink" Target="http://www.sec.gov/Archives/edgar/data/1484565/000119312514256995/d711637dex1019.htm" TargetMode="External"/><Relationship Id="rId176" Type="http://schemas.openxmlformats.org/officeDocument/2006/relationships/hyperlink" Target="http://www.sec.gov/Archives/edgar/data/1484565/000119312514274666/d711637dex1020.htm" TargetMode="External"/><Relationship Id="rId178" Type="http://schemas.openxmlformats.org/officeDocument/2006/relationships/hyperlink" Target="http://www.sec.gov/Archives/edgar/data/1484565/000119312514357384/d711637dex1021.htm" TargetMode="External"/><Relationship Id="rId179" Type="http://schemas.openxmlformats.org/officeDocument/2006/relationships/hyperlink" Target="http://www.sec.gov/Archives/edgar/data/1484565/000119312514396517/d711637dex1022.htm" TargetMode="External"/><Relationship Id="rId180" Type="http://schemas.openxmlformats.org/officeDocument/2006/relationships/hyperlink" Target="http://www.sec.gov/Archives/edgar/data/1484565/000119312514396517/d711637dex1023.htm" TargetMode="External"/><Relationship Id="rId181" Type="http://schemas.openxmlformats.org/officeDocument/2006/relationships/hyperlink" Target="http://www.sec.gov/Archives/edgar/data/1484565/000119312515078868/d886135dex101.htm" TargetMode="External"/><Relationship Id="rId182" Type="http://schemas.openxmlformats.org/officeDocument/2006/relationships/hyperlink" Target="http://www.sec.gov/Archives/edgar/data/1484565/000119312515114723/d893037dex1025.htm" TargetMode="External"/><Relationship Id="rId183" Type="http://schemas.openxmlformats.org/officeDocument/2006/relationships/hyperlink" Target="http://www.sec.gov/Archives/edgar/data/1484565/000119312515246752/d72536dex101.htm" TargetMode="External"/><Relationship Id="rId184" Type="http://schemas.openxmlformats.org/officeDocument/2006/relationships/hyperlink" Target="http://www.sec.gov/Archives/edgar/data/1484565/000119312515246752/d72536dex102.htm" TargetMode="External"/><Relationship Id="rId185" Type="http://schemas.openxmlformats.org/officeDocument/2006/relationships/hyperlink" Target="http://www.sec.gov/Archives/edgar/data/1484565/000119312515264172/d151899dex41.htm" TargetMode="External"/><Relationship Id="rId186" Type="http://schemas.openxmlformats.org/officeDocument/2006/relationships/hyperlink" Target="http://www.sec.gov/Archives/edgar/data/1484565/000119312515264172/d151899dex101.htm" TargetMode="External"/><Relationship Id="rId187" Type="http://schemas.openxmlformats.org/officeDocument/2006/relationships/hyperlink" Target="http://www.sec.gov/Archives/edgar/data/1484565/000119312515344002/d67111dex11.htm" TargetMode="External"/><Relationship Id="rId188" Type="http://schemas.openxmlformats.org/officeDocument/2006/relationships/hyperlink" Target="http://www.sec.gov/Archives/edgar/data/1484565/000119312515344002/d67111dex101.htm" TargetMode="External"/><Relationship Id="rId189" Type="http://schemas.openxmlformats.org/officeDocument/2006/relationships/hyperlink" Target="http://www.sec.gov/Archives/edgar/data/1484565/000119312515344002/d67111dex102.htm" TargetMode="External"/><Relationship Id="rId190" Type="http://schemas.openxmlformats.org/officeDocument/2006/relationships/hyperlink" Target="http://www.sec.gov/Archives/edgar/data/1484565/000119312515344002/d67111dex103.htm" TargetMode="External"/><Relationship Id="rId191" Type="http://schemas.openxmlformats.org/officeDocument/2006/relationships/hyperlink" Target="http://www.sec.gov/Archives/edgar/data/1484565/000119312515410913/d83264dex1033.htm" TargetMode="External"/><Relationship Id="rId192" Type="http://schemas.openxmlformats.org/officeDocument/2006/relationships/hyperlink" Target="http://www.sec.gov/Archives/edgar/data/1484565/000119312516441799/d77178dex101.htm" TargetMode="External"/><Relationship Id="rId193" Type="http://schemas.openxmlformats.org/officeDocument/2006/relationships/hyperlink" Target="http://www.sec.gov/Archives/edgar/data/1484565/000119312516642505/d221558dex11.htm" TargetMode="External"/><Relationship Id="rId195" Type="http://schemas.openxmlformats.org/officeDocument/2006/relationships/hyperlink" Target="http://www.sec.gov/Archives/edgar/data/1484565/000119312516642505/d221558dex101.htm" TargetMode="External"/><Relationship Id="rId196" Type="http://schemas.openxmlformats.org/officeDocument/2006/relationships/hyperlink" Target="http://www.sec.gov/Archives/edgar/data/1484565/000119312516642505/d221558dex102.htm" TargetMode="External"/><Relationship Id="rId197" Type="http://schemas.openxmlformats.org/officeDocument/2006/relationships/hyperlink" Target="http://www.sec.gov/Archives/edgar/data/1484565/000119312516714955/d217110dex1039.htm" TargetMode="External"/><Relationship Id="rId198" Type="http://schemas.openxmlformats.org/officeDocument/2006/relationships/hyperlink" Target="http://www.sec.gov/Archives/edgar/data/1484565/000119312516803934/d282262dex21.htm" TargetMode="External"/><Relationship Id="rId199" Type="http://schemas.openxmlformats.org/officeDocument/2006/relationships/hyperlink" Target="http://www.sec.gov/Archives/edgar/data/1484565/000119312517027623/d336318dex1051.htm" TargetMode="External"/><Relationship Id="rId200" Type="http://schemas.openxmlformats.org/officeDocument/2006/relationships/hyperlink" Target="http://www.sec.gov/Archives/edgar/data/1484565/000119312517027623/d336318dex1052.htm" TargetMode="External"/><Relationship Id="rId201" Type="http://schemas.openxmlformats.org/officeDocument/2006/relationships/hyperlink" Target="http://www.sec.gov/Archives/edgar/data/1484565/000148456517000004/ex101securitiespurchaseagr.htm" TargetMode="External"/><Relationship Id="rId202" Type="http://schemas.openxmlformats.org/officeDocument/2006/relationships/hyperlink" Target="http://www.sec.gov/Archives/edgar/data/1484565/000119312518182178/d781173dex101.htm" TargetMode="External"/><Relationship Id="rId203" Type="http://schemas.openxmlformats.org/officeDocument/2006/relationships/hyperlink" Target="http://www.sec.gov/Archives/edgar/data/0001484565/000119312518353226/d653435dex101.htm" TargetMode="External"/><Relationship Id="rId204" Type="http://schemas.openxmlformats.org/officeDocument/2006/relationships/hyperlink" Target="http://www.sec.gov/Archives/edgar/data/0001484565/000156459019010146/slno-ex1048_141.htm" TargetMode="External"/><Relationship Id="rId205" Type="http://schemas.openxmlformats.org/officeDocument/2006/relationships/hyperlink" Target="http://www.sec.gov/Archives/edgar/data/1484565/000119312520181008/d940565dex11.htm" TargetMode="External"/><Relationship Id="rId206" Type="http://schemas.openxmlformats.org/officeDocument/2006/relationships/hyperlink" Target="http://www.sec.gov/Archives/edgar/data/1484565/000119312520262597/d153782dex101.htm" TargetMode="External"/><Relationship Id="rId207" Type="http://schemas.openxmlformats.org/officeDocument/2006/relationships/hyperlink" Target="http://www.sec.gov/Archives/edgar/data/1484565/000119312520292974/d937820dex101.htm" TargetMode="External"/><Relationship Id="rId209" Type="http://schemas.openxmlformats.org/officeDocument/2006/relationships/hyperlink" Target="http://www.sec.gov/Archives/edgar/data/1484565/000119312521008129/d15884dex101.htm" TargetMode="External"/><Relationship Id="rId210" Type="http://schemas.openxmlformats.org/officeDocument/2006/relationships/hyperlink" Target="http://www.sec.gov/Archives/edgar/data/1484565/000119312521008129/d15884dex102.htm" TargetMode="External"/><Relationship Id="rId211" Type="http://schemas.openxmlformats.org/officeDocument/2006/relationships/hyperlink" Target="http://www.sec.gov/Archives/edgar/data/1484565/000119312521008129/d1588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2021-03-03T15:10:48Z</dcterms:created>
  <dcterms:modified xsi:type="dcterms:W3CDTF">2021-03-03T15:10:48Z</dcterms:modified>
</cp:coreProperties>
</file>