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left="1920" w:right="1340"/>
        <w:spacing w:after="0" w:line="246" w:lineRule="auto"/>
        <w:rPr>
          <w:sz w:val="20"/>
          <w:szCs w:val="20"/>
          <w:color w:val="auto"/>
        </w:rPr>
      </w:pPr>
      <w:r>
        <w:rPr>
          <w:rFonts w:ascii="Times New Roman" w:cs="Times New Roman" w:eastAsia="Times New Roman" w:hAnsi="Times New Roman"/>
          <w:sz w:val="22"/>
          <w:szCs w:val="22"/>
          <w:b w:val="1"/>
          <w:bCs w:val="1"/>
          <w:color w:val="auto"/>
        </w:rPr>
        <w:t>Tender Offer Statement Under Section 14(d)(1) or 13(e)(1) of the Securities Exchange Act of 1934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SOLENO THERAPEUTICS, INC.</w:t>
      </w:r>
    </w:p>
    <w:p>
      <w:pPr>
        <w:spacing w:after="0" w:line="4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(Offeror)</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1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(Parent of Offeror)</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(Names of Filing Persons)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834203309</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Kyle W. Gano, Ph.D.</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6027 Edgewood Bend Court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(858) 617-7600</w:t>
      </w:r>
    </w:p>
    <w:p>
      <w:pPr>
        <w:spacing w:after="0" w:line="2" w:lineRule="exact"/>
        <w:rPr>
          <w:sz w:val="24"/>
          <w:szCs w:val="24"/>
          <w:color w:val="auto"/>
        </w:rPr>
      </w:pPr>
    </w:p>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194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0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With a copy to</w:t>
            </w:r>
            <w:r>
              <w:rPr>
                <w:rFonts w:ascii="Times New Roman" w:cs="Times New Roman" w:eastAsia="Times New Roman" w:hAnsi="Times New Roman"/>
                <w:sz w:val="14"/>
                <w:szCs w:val="14"/>
                <w:color w:val="auto"/>
              </w:rPr>
              <w:t>:</w:t>
            </w:r>
          </w:p>
        </w:tc>
      </w:tr>
      <w:tr>
        <w:trPr>
          <w:trHeight w:val="228"/>
        </w:trPr>
        <w:tc>
          <w:tcPr>
            <w:tcW w:w="242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Darin M. Lippoldt</w:t>
            </w:r>
          </w:p>
        </w:tc>
        <w:tc>
          <w:tcPr>
            <w:tcW w:w="5060" w:type="dxa"/>
            <w:vAlign w:val="bottom"/>
          </w:tcPr>
          <w:p>
            <w:pPr>
              <w:jc w:val="center"/>
              <w:ind w:left="2908"/>
              <w:spacing w:after="0"/>
              <w:rPr>
                <w:sz w:val="20"/>
                <w:szCs w:val="20"/>
                <w:color w:val="auto"/>
              </w:rPr>
            </w:pPr>
            <w:r>
              <w:rPr>
                <w:rFonts w:ascii="Times New Roman" w:cs="Times New Roman" w:eastAsia="Times New Roman" w:hAnsi="Times New Roman"/>
                <w:sz w:val="14"/>
                <w:szCs w:val="14"/>
                <w:b w:val="1"/>
                <w:bCs w:val="1"/>
                <w:color w:val="auto"/>
              </w:rPr>
              <w:t>Jamie Leigh</w:t>
            </w:r>
          </w:p>
        </w:tc>
      </w:tr>
      <w:tr>
        <w:trPr>
          <w:trHeight w:val="149"/>
        </w:trPr>
        <w:tc>
          <w:tcPr>
            <w:tcW w:w="2420" w:type="dxa"/>
            <w:vAlign w:val="bottom"/>
          </w:tcPr>
          <w:p>
            <w:pPr>
              <w:jc w:val="center"/>
              <w:ind w:right="608"/>
              <w:spacing w:after="0" w:line="149" w:lineRule="exact"/>
              <w:rPr>
                <w:sz w:val="20"/>
                <w:szCs w:val="20"/>
                <w:color w:val="auto"/>
              </w:rPr>
            </w:pPr>
            <w:r>
              <w:rPr>
                <w:rFonts w:ascii="Times New Roman" w:cs="Times New Roman" w:eastAsia="Times New Roman" w:hAnsi="Times New Roman"/>
                <w:sz w:val="14"/>
                <w:szCs w:val="14"/>
                <w:b w:val="1"/>
                <w:bCs w:val="1"/>
                <w:color w:val="auto"/>
              </w:rPr>
              <w:t>Chief Legal Officer</w:t>
            </w:r>
          </w:p>
        </w:tc>
        <w:tc>
          <w:tcPr>
            <w:tcW w:w="5060" w:type="dxa"/>
            <w:vAlign w:val="bottom"/>
          </w:tcPr>
          <w:p>
            <w:pPr>
              <w:jc w:val="center"/>
              <w:ind w:left="2888"/>
              <w:spacing w:after="0" w:line="149" w:lineRule="exact"/>
              <w:rPr>
                <w:sz w:val="20"/>
                <w:szCs w:val="20"/>
                <w:color w:val="auto"/>
              </w:rPr>
            </w:pPr>
            <w:r>
              <w:rPr>
                <w:rFonts w:ascii="Times New Roman" w:cs="Times New Roman" w:eastAsia="Times New Roman" w:hAnsi="Times New Roman"/>
                <w:sz w:val="14"/>
                <w:szCs w:val="14"/>
                <w:b w:val="1"/>
                <w:bCs w:val="1"/>
                <w:color w:val="auto"/>
              </w:rPr>
              <w:t>Kevin Cooper</w:t>
            </w:r>
          </w:p>
        </w:tc>
      </w:tr>
      <w:tr>
        <w:trPr>
          <w:trHeight w:val="148"/>
        </w:trPr>
        <w:tc>
          <w:tcPr>
            <w:tcW w:w="2420" w:type="dxa"/>
            <w:vAlign w:val="bottom"/>
          </w:tcPr>
          <w:p>
            <w:pPr>
              <w:jc w:val="center"/>
              <w:ind w:right="608"/>
              <w:spacing w:after="0" w:line="149" w:lineRule="exact"/>
              <w:rPr>
                <w:sz w:val="20"/>
                <w:szCs w:val="20"/>
                <w:color w:val="auto"/>
              </w:rPr>
            </w:pPr>
            <w:r>
              <w:rPr>
                <w:rFonts w:ascii="Times New Roman" w:cs="Times New Roman" w:eastAsia="Times New Roman" w:hAnsi="Times New Roman"/>
                <w:sz w:val="14"/>
                <w:szCs w:val="14"/>
                <w:b w:val="1"/>
                <w:bCs w:val="1"/>
                <w:color w:val="auto"/>
              </w:rPr>
              <w:t>Neurocrine Biosciences, Inc.</w:t>
            </w:r>
          </w:p>
        </w:tc>
        <w:tc>
          <w:tcPr>
            <w:tcW w:w="5060" w:type="dxa"/>
            <w:vAlign w:val="bottom"/>
          </w:tcPr>
          <w:p>
            <w:pPr>
              <w:jc w:val="center"/>
              <w:ind w:left="2888"/>
              <w:spacing w:after="0" w:line="149" w:lineRule="exact"/>
              <w:rPr>
                <w:sz w:val="20"/>
                <w:szCs w:val="20"/>
                <w:color w:val="auto"/>
              </w:rPr>
            </w:pPr>
            <w:r>
              <w:rPr>
                <w:rFonts w:ascii="Times New Roman" w:cs="Times New Roman" w:eastAsia="Times New Roman" w:hAnsi="Times New Roman"/>
                <w:sz w:val="14"/>
                <w:szCs w:val="14"/>
                <w:b w:val="1"/>
                <w:bCs w:val="1"/>
                <w:color w:val="auto"/>
              </w:rPr>
              <w:t>Carlos Ramirez</w:t>
            </w:r>
          </w:p>
        </w:tc>
      </w:tr>
      <w:tr>
        <w:trPr>
          <w:trHeight w:val="149"/>
        </w:trPr>
        <w:tc>
          <w:tcPr>
            <w:tcW w:w="2420" w:type="dxa"/>
            <w:vAlign w:val="bottom"/>
          </w:tcPr>
          <w:p>
            <w:pPr>
              <w:jc w:val="center"/>
              <w:ind w:right="608"/>
              <w:spacing w:after="0" w:line="149" w:lineRule="exact"/>
              <w:rPr>
                <w:sz w:val="20"/>
                <w:szCs w:val="20"/>
                <w:color w:val="auto"/>
              </w:rPr>
            </w:pPr>
            <w:r>
              <w:rPr>
                <w:rFonts w:ascii="Times New Roman" w:cs="Times New Roman" w:eastAsia="Times New Roman" w:hAnsi="Times New Roman"/>
                <w:sz w:val="14"/>
                <w:szCs w:val="14"/>
                <w:b w:val="1"/>
                <w:bCs w:val="1"/>
                <w:color w:val="auto"/>
              </w:rPr>
              <w:t>6027 Edgewood Bend Court</w:t>
            </w:r>
          </w:p>
        </w:tc>
        <w:tc>
          <w:tcPr>
            <w:tcW w:w="5060" w:type="dxa"/>
            <w:vAlign w:val="bottom"/>
          </w:tcPr>
          <w:p>
            <w:pPr>
              <w:jc w:val="center"/>
              <w:ind w:left="2888"/>
              <w:spacing w:after="0" w:line="149" w:lineRule="exact"/>
              <w:rPr>
                <w:sz w:val="20"/>
                <w:szCs w:val="20"/>
                <w:color w:val="auto"/>
              </w:rPr>
            </w:pPr>
            <w:r>
              <w:rPr>
                <w:rFonts w:ascii="Times New Roman" w:cs="Times New Roman" w:eastAsia="Times New Roman" w:hAnsi="Times New Roman"/>
                <w:sz w:val="14"/>
                <w:szCs w:val="14"/>
                <w:b w:val="1"/>
                <w:bCs w:val="1"/>
                <w:color w:val="auto"/>
              </w:rPr>
              <w:t>Cooley LLP</w:t>
            </w:r>
          </w:p>
        </w:tc>
      </w:tr>
      <w:tr>
        <w:trPr>
          <w:trHeight w:val="148"/>
        </w:trPr>
        <w:tc>
          <w:tcPr>
            <w:tcW w:w="2420" w:type="dxa"/>
            <w:vAlign w:val="bottom"/>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San Diego, California 92130</w:t>
            </w:r>
          </w:p>
        </w:tc>
        <w:tc>
          <w:tcPr>
            <w:tcW w:w="5060" w:type="dxa"/>
            <w:vAlign w:val="bottom"/>
          </w:tcPr>
          <w:p>
            <w:pPr>
              <w:jc w:val="center"/>
              <w:ind w:left="2888"/>
              <w:spacing w:after="0" w:line="149" w:lineRule="exact"/>
              <w:rPr>
                <w:sz w:val="20"/>
                <w:szCs w:val="20"/>
                <w:color w:val="auto"/>
              </w:rPr>
            </w:pPr>
            <w:r>
              <w:rPr>
                <w:rFonts w:ascii="Times New Roman" w:cs="Times New Roman" w:eastAsia="Times New Roman" w:hAnsi="Times New Roman"/>
                <w:sz w:val="14"/>
                <w:szCs w:val="14"/>
                <w:b w:val="1"/>
                <w:bCs w:val="1"/>
                <w:color w:val="auto"/>
              </w:rPr>
              <w:t>3 Embarcadero Center, 20th Floor</w:t>
            </w:r>
          </w:p>
        </w:tc>
      </w:tr>
      <w:tr>
        <w:trPr>
          <w:trHeight w:val="148"/>
        </w:trPr>
        <w:tc>
          <w:tcPr>
            <w:tcW w:w="2420" w:type="dxa"/>
            <w:vAlign w:val="bottom"/>
          </w:tcPr>
          <w:p>
            <w:pPr>
              <w:jc w:val="center"/>
              <w:ind w:right="608"/>
              <w:spacing w:after="0" w:line="149" w:lineRule="exact"/>
              <w:rPr>
                <w:sz w:val="20"/>
                <w:szCs w:val="20"/>
                <w:color w:val="auto"/>
              </w:rPr>
            </w:pPr>
            <w:r>
              <w:rPr>
                <w:rFonts w:ascii="Times New Roman" w:cs="Times New Roman" w:eastAsia="Times New Roman" w:hAnsi="Times New Roman"/>
                <w:sz w:val="14"/>
                <w:szCs w:val="14"/>
                <w:b w:val="1"/>
                <w:bCs w:val="1"/>
                <w:color w:val="auto"/>
              </w:rPr>
              <w:t>(858) 617-7600</w:t>
            </w:r>
          </w:p>
        </w:tc>
        <w:tc>
          <w:tcPr>
            <w:tcW w:w="5060" w:type="dxa"/>
            <w:vAlign w:val="bottom"/>
          </w:tcPr>
          <w:p>
            <w:pPr>
              <w:jc w:val="center"/>
              <w:ind w:left="288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 94111</w:t>
            </w:r>
          </w:p>
        </w:tc>
      </w:tr>
      <w:tr>
        <w:trPr>
          <w:trHeight w:val="190"/>
        </w:trPr>
        <w:tc>
          <w:tcPr>
            <w:tcW w:w="2420" w:type="dxa"/>
            <w:vAlign w:val="bottom"/>
          </w:tcPr>
          <w:p>
            <w:pPr>
              <w:spacing w:after="0"/>
              <w:rPr>
                <w:sz w:val="16"/>
                <w:szCs w:val="16"/>
                <w:color w:val="auto"/>
              </w:rPr>
            </w:pPr>
          </w:p>
        </w:tc>
        <w:tc>
          <w:tcPr>
            <w:tcW w:w="5060" w:type="dxa"/>
            <w:vAlign w:val="bottom"/>
          </w:tcPr>
          <w:p>
            <w:pPr>
              <w:jc w:val="center"/>
              <w:ind w:left="2888"/>
              <w:spacing w:after="0"/>
              <w:rPr>
                <w:sz w:val="20"/>
                <w:szCs w:val="20"/>
                <w:color w:val="auto"/>
              </w:rPr>
            </w:pPr>
            <w:r>
              <w:rPr>
                <w:rFonts w:ascii="Times New Roman" w:cs="Times New Roman" w:eastAsia="Times New Roman" w:hAnsi="Times New Roman"/>
                <w:sz w:val="14"/>
                <w:szCs w:val="14"/>
                <w:b w:val="1"/>
                <w:bCs w:val="1"/>
                <w:color w:val="auto"/>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third-party tender offer subject to Rule 14d-1.</w:t>
      </w:r>
    </w:p>
    <w:p>
      <w:pPr>
        <w:spacing w:after="0" w:line="7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issuer tender offer subject to Rule 13e-4.</w:t>
      </w:r>
    </w:p>
    <w:p>
      <w:pPr>
        <w:spacing w:after="0" w:line="2"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going-private transaction subject to Rule 13e-3.</w:t>
      </w:r>
    </w:p>
    <w:p>
      <w:pPr>
        <w:spacing w:after="0" w:line="16"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amendment to Schedule 13D under Rule 13d-2.</w:t>
      </w:r>
    </w:p>
    <w:p>
      <w:pPr>
        <w:spacing w:after="0" w:line="1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9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63"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223520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511" w:right="1440" w:bottom="1440" w:gutter="0" w:footer="0" w:header="0"/>
        </w:sectPr>
      </w:pPr>
    </w:p>
    <w:bookmarkStart w:id="1" w:name="page2"/>
    <w:bookmarkEnd w:id="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(this “Amendment”) amends and supplements the Tender Offer Statement on Schedule TO filed by Sigma Merger Sub, Inc., a Delaware corporation (“Purchaser”) and a direct wholly owned subsidiary of Neurocrine Biosciences, Inc., a Delaware corporation (“Neurocrine”), and Neurocrine with the U.S. Securities and Exchange Commission on April 20, 2026 (together with any subsequent amendments and supplements thereto, the “Schedule TO”). The Schedule TO relates to the offer by Purchaser to purchase all of the outstanding shares of common stock, par value $0.001 per share (the “Shares”), of Soleno Therapeutics, Inc., a Delaware corporation (“Soleno”), in exchange for $53.00 per Share, payable in cash without interest and subject to reduction for any applicable withholding taxes, upon the terms and conditions set forth in the offer to purchase, dated April 20, 2026 (the “Offer to Purchase”), filed as Exhibit (a)(1)(A) to the Schedule TO, and in the related letter of transmittal (the “Letter of Transmittal”), filed as Exhibit (a)(1)(B) to the Schedule TO, which, as each may be amended or supplemented from time to time, collectively constitute the “Offer.”</w:t>
      </w:r>
    </w:p>
    <w:p>
      <w:pPr>
        <w:spacing w:after="0" w:line="18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Offer to Purchase.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Item 11.</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hereby added as a new section at the end of the Offer to Purchase: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 Expiration of the Offer</w:t>
      </w:r>
    </w:p>
    <w:p>
      <w:pPr>
        <w:spacing w:after="0" w:line="121" w:lineRule="exact"/>
        <w:rPr>
          <w:sz w:val="20"/>
          <w:szCs w:val="20"/>
          <w:color w:val="auto"/>
        </w:rPr>
      </w:pPr>
    </w:p>
    <w:p>
      <w:pPr>
        <w:ind w:left="440" w:right="100" w:firstLine="423"/>
        <w:spacing w:after="0" w:line="258" w:lineRule="auto"/>
        <w:rPr>
          <w:sz w:val="20"/>
          <w:szCs w:val="20"/>
          <w:color w:val="auto"/>
        </w:rPr>
      </w:pPr>
      <w:r>
        <w:rPr>
          <w:rFonts w:ascii="Times New Roman" w:cs="Times New Roman" w:eastAsia="Times New Roman" w:hAnsi="Times New Roman"/>
          <w:sz w:val="18"/>
          <w:szCs w:val="18"/>
          <w:color w:val="auto"/>
        </w:rPr>
        <w:t>The Offer and related withdrawal rights expired as scheduled one minute following 11:59 p.m. Eastern Time on May 15, 2026 (the “Expiration Time”) and was not extended. The Depositary has advised Purchaser that, as of the Expiration Time, 46,356,114 Shares, representing approximately 88.9% of the issued and outstanding Shares as of the Expiration Time, had been validly tendered and not validly withdrawn pursuant to the Offer. As of the Expiration Time, the number of Shares validly tendered and not validly withdrawn pursuant to the Offer satisfied the Minimum Condition.</w:t>
      </w:r>
    </w:p>
    <w:p>
      <w:pPr>
        <w:spacing w:after="0" w:line="75" w:lineRule="exact"/>
        <w:rPr>
          <w:sz w:val="20"/>
          <w:szCs w:val="20"/>
          <w:color w:val="auto"/>
        </w:rPr>
      </w:pPr>
    </w:p>
    <w:p>
      <w:pPr>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All conditions to the Offer having been satisfied or waived, on May 17, 2026, Purchaser irrevocably accepted for payment all Shares validly tendered and not validly withdrawn prior to the Expiration Time, and payment of the Offer Price for such Shares will be made promptly in accordance with the terms of the Offer and the Merger Agreement.</w:t>
      </w:r>
    </w:p>
    <w:p>
      <w:pPr>
        <w:spacing w:after="0" w:line="68" w:lineRule="exact"/>
        <w:rPr>
          <w:sz w:val="20"/>
          <w:szCs w:val="20"/>
          <w:color w:val="auto"/>
        </w:rPr>
      </w:pPr>
    </w:p>
    <w:p>
      <w:pPr>
        <w:ind w:left="440" w:right="100" w:firstLine="423"/>
        <w:spacing w:after="0" w:line="266" w:lineRule="auto"/>
        <w:rPr>
          <w:sz w:val="20"/>
          <w:szCs w:val="20"/>
          <w:color w:val="auto"/>
        </w:rPr>
      </w:pPr>
      <w:r>
        <w:rPr>
          <w:rFonts w:ascii="Times New Roman" w:cs="Times New Roman" w:eastAsia="Times New Roman" w:hAnsi="Times New Roman"/>
          <w:sz w:val="18"/>
          <w:szCs w:val="18"/>
          <w:color w:val="auto"/>
        </w:rPr>
        <w:t>Following acceptance for payment of the Shares, Neurocrine and Purchaser owned a sufficient number of Shares to effect the Merger under Section 251(h) of the DGCL, without a vote of Soleno’s stockholders. Purchaser was merged with and into Soleno, and Soleno continued as the surviving corporation and as a direct wholly owned subsidiary of Neurocrine.</w:t>
      </w:r>
    </w:p>
    <w:p>
      <w:pPr>
        <w:spacing w:after="0" w:line="68" w:lineRule="exact"/>
        <w:rPr>
          <w:sz w:val="20"/>
          <w:szCs w:val="20"/>
          <w:color w:val="auto"/>
        </w:rPr>
      </w:pPr>
    </w:p>
    <w:p>
      <w:pPr>
        <w:ind w:left="440" w:right="80" w:firstLine="423"/>
        <w:spacing w:after="0" w:line="255" w:lineRule="auto"/>
        <w:rPr>
          <w:sz w:val="20"/>
          <w:szCs w:val="20"/>
          <w:color w:val="auto"/>
        </w:rPr>
      </w:pPr>
      <w:r>
        <w:rPr>
          <w:rFonts w:ascii="Times New Roman" w:cs="Times New Roman" w:eastAsia="Times New Roman" w:hAnsi="Times New Roman"/>
          <w:sz w:val="18"/>
          <w:szCs w:val="18"/>
          <w:color w:val="auto"/>
        </w:rPr>
        <w:t>At the Effective Time, each Share issued and outstanding immediately prior to the Effective Time (other than (i) Shares owned immediately prior to the Effective Time by Soleno (including those held in Soleno’s treasury), (ii) Shares owned both as of the commencement date of the Offer and immediately prior to the Effective Time by Neurocrine, Purchaser, or any other direct or indirect wholly owned subsidiary of Neurocrine, (iii) Shares irrevocably accepted by Purchaser for purchase pursuant to the Offer and (iv) Shares held by stockholders who have properly exercised and perfected their demands for appraisal of such Shares in accordance with the DGCL and have neither withdrawn nor lost such rights prior to the Effective Time) was canceled and ceased to exist and was converted into the right to receive the Offer Price, without interest and subject to any required withholding of taxes.</w:t>
      </w:r>
    </w:p>
    <w:p>
      <w:pPr>
        <w:spacing w:after="0" w:line="81" w:lineRule="exact"/>
        <w:rPr>
          <w:sz w:val="20"/>
          <w:szCs w:val="20"/>
          <w:color w:val="auto"/>
        </w:rPr>
      </w:pPr>
    </w:p>
    <w:p>
      <w:pPr>
        <w:ind w:left="440" w:right="80" w:firstLine="423"/>
        <w:spacing w:after="0" w:line="312" w:lineRule="auto"/>
        <w:rPr>
          <w:sz w:val="20"/>
          <w:szCs w:val="20"/>
          <w:color w:val="auto"/>
        </w:rPr>
      </w:pPr>
      <w:r>
        <w:rPr>
          <w:rFonts w:ascii="Times New Roman" w:cs="Times New Roman" w:eastAsia="Times New Roman" w:hAnsi="Times New Roman"/>
          <w:sz w:val="17"/>
          <w:szCs w:val="17"/>
          <w:color w:val="auto"/>
        </w:rPr>
        <w:t>The Shares will no longer be listed on Nasdaq and Neurocrine and Purchaser intend to take steps to cause the termination of the registration of the Shares under the Exchange Act and suspend all of Soleno’s reporting obligations under the Exchange Act as promptly as practicable.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May 18, 2026, Neurocrine issued a press release announcing the expiration and results of the Offer and the consummation of the Merger. The press release is attached as Exhibit (a)(5)(H) hereto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46" w:lineRule="exact"/>
        <w:rPr>
          <w:sz w:val="20"/>
          <w:szCs w:val="20"/>
          <w:color w:val="auto"/>
        </w:rPr>
      </w:pPr>
    </w:p>
    <w:p>
      <w:pPr>
        <w:ind w:left="140"/>
        <w:spacing w:after="0"/>
        <w:tabs>
          <w:tab w:leader="none" w:pos="108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(a)(5)(H)*</w:t>
      </w:r>
      <w:r>
        <w:rPr>
          <w:sz w:val="20"/>
          <w:szCs w:val="20"/>
          <w:color w:val="auto"/>
        </w:rPr>
        <w:tab/>
      </w:r>
      <w:r>
        <w:rPr>
          <w:rFonts w:ascii="Times New Roman" w:cs="Times New Roman" w:eastAsia="Times New Roman" w:hAnsi="Times New Roman"/>
          <w:sz w:val="18"/>
          <w:szCs w:val="18"/>
          <w:u w:val="single" w:color="auto"/>
          <w:color w:val="0000EE"/>
        </w:rPr>
        <w:t>Press Release issued by Neurocrine, dated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18,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Darin M. Lippoldt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Darin M. Lippoldt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Legal Officer</w:t>
      </w:r>
    </w:p>
    <w:p>
      <w:pPr>
        <w:sectPr>
          <w:pgSz w:w="11900" w:h="16838" w:orient="portrait"/>
          <w:cols w:equalWidth="0" w:num="1">
            <w:col w:w="10860"/>
          </w:cols>
          <w:pgMar w:left="440" w:top="266" w:right="5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(a)(5)(H)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Neurocrine Biosciences Completes Acquisition of Soleno Therapeutics</w:t>
      </w:r>
    </w:p>
    <w:p>
      <w:pPr>
        <w:spacing w:after="0" w:line="135" w:lineRule="exact"/>
        <w:rPr>
          <w:sz w:val="20"/>
          <w:szCs w:val="20"/>
          <w:color w:val="auto"/>
        </w:rPr>
      </w:pPr>
    </w:p>
    <w:p>
      <w:pPr>
        <w:ind w:left="960" w:right="160" w:hanging="424"/>
        <w:spacing w:after="0" w:line="213"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Neurocrine’s rare disease portfolio with VYKAT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XR, the first and only approved treatment for hyperphagia in Prader-Willi syndrome</w:t>
      </w:r>
    </w:p>
    <w:p>
      <w:pPr>
        <w:spacing w:after="0" w:line="10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recently launched therapy with strong early adoption and meaningful commercial potential</w:t>
      </w:r>
    </w:p>
    <w:p>
      <w:pPr>
        <w:spacing w:after="0" w:line="22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 xml:space="preserve">SAN DIEGO, May 18, 2026 – </w:t>
      </w:r>
      <w:r>
        <w:rPr>
          <w:rFonts w:ascii="Times New Roman" w:cs="Times New Roman" w:eastAsia="Times New Roman" w:hAnsi="Times New Roman"/>
          <w:sz w:val="18"/>
          <w:szCs w:val="18"/>
          <w:u w:val="single" w:color="auto"/>
          <w:color w:val="auto"/>
        </w:rPr>
        <w:t>Neurocrine Biosciences, Inc</w:t>
      </w:r>
      <w:r>
        <w:rPr>
          <w:rFonts w:ascii="Times New Roman" w:cs="Times New Roman" w:eastAsia="Times New Roman" w:hAnsi="Times New Roman"/>
          <w:sz w:val="18"/>
          <w:szCs w:val="18"/>
          <w:color w:val="auto"/>
        </w:rPr>
        <w:t>. (Nasdaq: NBIX) today announced the completion of its acquisition of Soleno Therapeutics, Inc., strengthening the company’s leadership in endocrinology and rare disease. The acquisition adds VYKAT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XR (diazoxide choline) tablets, the first and only approved medicine for hyperphagia in adults and pediatric patients 4 years of age and older with Prader-Willi syndrome, to Neurocrine’s first-in-class commercial portfolio alongside INGREZZA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(valbenazine) and CRENESSITY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(crinecerfont).</w:t>
      </w:r>
    </w:p>
    <w:p>
      <w:pPr>
        <w:spacing w:after="0" w:line="7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“Today marks an important advancement in Neurocrine’s mission to deliver life-changing treatments for patients with significant unmet needs,” said Kyle W. Gano, Ph.D., Chief Executive Officer, Neurocrine Biosciences. “We welcome our Soleno colleagues to Neurocrine and share their deep commitment to the Prader-Willi syndrome community, and we look forward to working together to make VYKAT XR available to more patients and their families.”</w:t>
      </w:r>
    </w:p>
    <w:p>
      <w:pPr>
        <w:spacing w:after="0" w:line="18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Prader-Willi syndrome (PWS) is a rare genetic neurodevelopmental disorder caused by an abnormality in gene expression on chromosome 15 that affects about 10,000 patients in the United States. The disease is characterized by neurological, behavioral, and metabolic dysfunction. Its defining feature is hyperphagia, a chronic, life-threatening condition marked by a persistent hunger that drives compulsive, food-seeking behavior. Individuals with PWS also commonly experience cognitive impairment and a range of psychiatric and behavioral challenges. Together, these symptoms can severely diminish quality of life for individuals with PWS and their families, with hyperphagia driving significant morbidity and mortality.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Neurocrine initially announced </w:t>
      </w:r>
      <w:r>
        <w:rPr>
          <w:rFonts w:ascii="Times New Roman" w:cs="Times New Roman" w:eastAsia="Times New Roman" w:hAnsi="Times New Roman"/>
          <w:sz w:val="18"/>
          <w:szCs w:val="18"/>
          <w:u w:val="single" w:color="auto"/>
          <w:color w:val="auto"/>
        </w:rPr>
        <w:t>the transaction</w:t>
      </w:r>
      <w:r>
        <w:rPr>
          <w:rFonts w:ascii="Times New Roman" w:cs="Times New Roman" w:eastAsia="Times New Roman" w:hAnsi="Times New Roman"/>
          <w:sz w:val="18"/>
          <w:szCs w:val="18"/>
          <w:color w:val="auto"/>
        </w:rPr>
        <w:t xml:space="preserve"> – representing a total equity value of $2.9 billion – on April 6,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Neurocrine completed the cash tender offer through a subsidiary for all the outstanding shares of common stock of Soleno at a purchase price of $53.00 per share, without interest, subject to any applicable withholding taxes.</w:t>
      </w:r>
    </w:p>
    <w:p>
      <w:pPr>
        <w:sectPr>
          <w:pgSz w:w="11900" w:h="16838" w:orient="portrait"/>
          <w:cols w:equalWidth="0" w:num="1">
            <w:col w:w="11020"/>
          </w:cols>
          <w:pgMar w:left="440" w:top="117" w:right="439" w:bottom="1440" w:gutter="0" w:footer="0" w:header="0"/>
        </w:sectPr>
      </w:pPr>
    </w:p>
    <w:bookmarkStart w:id="5" w:name="page6"/>
    <w:bookmarkEnd w:id="5"/>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tender offer expiration at one minute after 11:59 p.m. EDT on May 15, 2026, 46,356,114 shares of Soleno common stock were validly tendered and not validly withdrawn, representing approximately 88.9% of the total number of Soleno’s issued and outstanding shares of common stock as of such date and time. In accordance with the terms of the tender offer, all such shares have been accepted for payment.</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its acceptance of the tendered shares, Neurocrine completed its acquisition of Soleno through the merger of a direct wholly owned subsidiary of Neurocrine with and into Soleno, pursuant to Section 251(h) of the Delaware General Corporation Law on May 18, 2026, with Soleno continuing as the surviving corporation and becoming a direct, wholly owned subsidiary of Neurocrine. All remaining shares of Soleno common stock that were not validly tendered in the tender offer were converted into the right to receive the same $53 per share in cash, without interest, subject to any applicable withholding taxes, that would have been paid had such shares been validly tendered in the tender offer. As of May 18, 2026, Soleno’s common stock will no longer be listed or traded on the Nasdaq Capital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served as exclusive financial advisor, and Cooley LLP served as legal advisor to Neurocrine. Centerview Partners</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LLC and Guggenheim Securities, LLC served as financial advisors, and Wilson Sonsini Goodrich &amp; Rosati, Professional Corporation served as legal counsel to Soleno.</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PWS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Prader-Willi syndrome (PWS) is a rare genetic neurodevelopmental disorder caused by an abnormality in gene expression on chromosome 15. The Prader-Willi Syndrome Association USA estimates that PWS occurs in one in every 15,000 live births. The defining symptom of PWS is hyperphagia, a chronic and life-threatening condition characterized by an intense persistent sensation of hunger accompanied by food preoccupations, an extreme drive to consume food, food-related behavior problems, and a lack of normal satiety, which can severely diminish the quality of life for individuals with PWS and their families. Hyperphagia can lead to significant mortality (e.g., stomach rupture, choking, accidental death due to food seeking behavior) and longer-term co-morbidities such as diabetes, obesity, and cardiovascular disease.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INGREZZA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(valbenazine)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auto"/>
        </w:rPr>
        <w:t>additional safety information</w:t>
      </w:r>
      <w:r>
        <w:rPr>
          <w:rFonts w:ascii="Times New Roman" w:cs="Times New Roman" w:eastAsia="Times New Roman" w:hAnsi="Times New Roman"/>
          <w:sz w:val="18"/>
          <w:szCs w:val="18"/>
          <w:color w:val="auto"/>
        </w:rPr>
        <w:t xml:space="preserve">,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 xml:space="preserve">, including Boxed Warning, and </w:t>
      </w:r>
      <w:r>
        <w:rPr>
          <w:rFonts w:ascii="Times New Roman" w:cs="Times New Roman" w:eastAsia="Times New Roman" w:hAnsi="Times New Roman"/>
          <w:sz w:val="18"/>
          <w:szCs w:val="18"/>
          <w:u w:val="single" w:color="auto"/>
          <w:color w:val="auto"/>
        </w:rPr>
        <w:t>Medication Guide</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CRENESSITY</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(crinecerfont)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auto"/>
        </w:rPr>
        <w:t>additional safety information</w:t>
      </w:r>
      <w:r>
        <w:rPr>
          <w:rFonts w:ascii="Times New Roman" w:cs="Times New Roman" w:eastAsia="Times New Roman" w:hAnsi="Times New Roman"/>
          <w:sz w:val="18"/>
          <w:szCs w:val="18"/>
          <w:color w:val="auto"/>
        </w:rPr>
        <w:t xml:space="preserve"> and full </w:t>
      </w:r>
      <w:r>
        <w:rPr>
          <w:rFonts w:ascii="Times New Roman" w:cs="Times New Roman" w:eastAsia="Times New Roman" w:hAnsi="Times New Roman"/>
          <w:sz w:val="18"/>
          <w:szCs w:val="18"/>
          <w:u w:val="single" w:color="auto"/>
          <w:color w:val="auto"/>
        </w:rPr>
        <w:t>Prescribing Information</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VYKAT XR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VYKAT XR was approved by the U.S. Food and Drug Administration (FDA) on March 26, 2025, and is now commercially available to U.S. patients.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VYKAT XR is indicated for the treatment of hyperphagia in adults and pediatric patients 4 years of age and older with Prader-Willi syndrome (PWS).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VYKAT XR (diazoxide choline) extended-release tablets is indicated for the treatment of hyperphagia in adults and pediatric patients 4 years of age and older with Prader-Willi syndrome (PWS).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VYKAT XR is contraindicated in patients who have a known hypersensitivity to diazoxide, other components of VYKAT XR, or to thiazides.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Hyperglycemia</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Hyperglycemia, including diabetic ketoacidosis, has been reported. Before initiating VYKAT XR, test fasting plasma glucose (FPG) and HbA1c; optimize blood glucose in patients who have hyperglycemia. During treatment, regularly monitor fasting glucose (FPG or fasting blood glucose) and HbA1c. Monitor fasting glucose more frequently during the first few weeks of treatment in patients with risk factors for hyperglycemia.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Fluid Overload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Edema, including severe reactions associated with fluid overload, has been reported. Monitor for signs or symptoms of edema or fluid overload.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VYKAT XR has not been studied in patients with compromised cardiac reserve and should be used with caution in these patients.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common adverse reactions (incidence ≥10% and at least 2% greater than placebo) included hypertrichosis, edema, hyperglycemia, and rash.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the full </w:t>
      </w:r>
      <w:r>
        <w:rPr>
          <w:rFonts w:ascii="Times New Roman" w:cs="Times New Roman" w:eastAsia="Times New Roman" w:hAnsi="Times New Roman"/>
          <w:sz w:val="18"/>
          <w:szCs w:val="18"/>
          <w:u w:val="single" w:color="auto"/>
          <w:color w:val="auto"/>
        </w:rPr>
        <w:t>Prescribing Information, including Medication Guide</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Neurocrine Biosciences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Neurocrine Biosciences is a leading biopharmaceutical company with a simple purpose: to relieve suffering for people with great needs. We are dedicated to discovering, developing and commercializing life-changing treatments for patients with under-addressed neurological, psychiatric, endocrine and immunological disorders. The company’s diverse portfolio includes FDA-approved treatments for tardive dyskinesia, chorea associated with Huntington’s disease, classic congenital adrenal hyperplasia, hyperphagia in patients with Prader-Willi syndrome, endometriosis* and uterine fibroids*, as well as a robust pipeline including multiple compounds in mid- to late-phase clinical development across our core therapeutic areas. For more than three decades, we have applied our unique insight into neuroscience and the interconnections between brain and body systems to treat complex conditions. We relentlessly pursue medicines to ease the burden of debilitating diseases and disorders, because you deserve brave science. For more information, visit </w:t>
      </w:r>
      <w:r>
        <w:rPr>
          <w:rFonts w:ascii="Times New Roman" w:cs="Times New Roman" w:eastAsia="Times New Roman" w:hAnsi="Times New Roman"/>
          <w:sz w:val="18"/>
          <w:szCs w:val="18"/>
          <w:u w:val="single" w:color="auto"/>
          <w:color w:val="auto"/>
        </w:rPr>
        <w:t>neurocrine.com</w:t>
      </w:r>
      <w:r>
        <w:rPr>
          <w:rFonts w:ascii="Times New Roman" w:cs="Times New Roman" w:eastAsia="Times New Roman" w:hAnsi="Times New Roman"/>
          <w:sz w:val="18"/>
          <w:szCs w:val="18"/>
          <w:color w:val="auto"/>
        </w:rPr>
        <w:t xml:space="preserve">, and follow the company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 collaboration with AbbVie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NEUROCRINE, the NEUROCRINE BIOSCIENCES Logo, YOU DESERVE BRAVE SCIENCE, INGREZZA and CRENESSITY are registered trademarks of Neurocrine Biosciences, Inc. SOLENO is a registered trademark of Soleno Therapeutics, Inc. VYKAT is a trademark of Soleno Therapeutics,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communication contains forward-looking statements that involve risks and uncertainties relating to future events and the future performance of Neurocrine, including statements regarding Neurocrine’s acquisition of Soleno, the prospective benefits of the acquisition; Neurocrine’s strategy, plans, objectives, expectations (financial or otherwise) and intentions with respect to its future financial results and growth potential, anticipated product portfolio, and development programs; the estimated occurrence of PWS; the estimated U.S. population of PWS patients; and other statements that are not historical facts. The forward-looking statements contained in this communication are based on current expectations and assumptions that are subject to risks and uncertainties which may cause actual results to differ materially from the forward-looking statements. These statements may contain words such as “anticipate,” “believe,” “could,” “estimate,” “expect,” “future,” “intend,” “may,” “opportunity,” “plan,” “potential,” “project,” “seek,” “should,” “strategy,” “will,” “would” or other similar words and expressions indicating future results. Risks that may cause these forward-looking statements to be inaccurate include, without limitation: risks related to Neurocrine’s ability to realize the anticipated benefits of the acquisition, including the possibility that the expected benefits from the acquisition will not be realized or will not be realized within the expected time period and that Neurocrine will not be able to integrate Soleno successfully or that such integration may be more difficult, time-consuming or costly than expected; disruption from the</w:t>
      </w:r>
    </w:p>
    <w:p>
      <w:pPr>
        <w:sectPr>
          <w:pgSz w:w="11900" w:h="16838" w:orient="portrait"/>
          <w:cols w:equalWidth="0" w:num="1">
            <w:col w:w="10980"/>
          </w:cols>
          <w:pgMar w:left="440" w:top="266" w:right="479" w:bottom="1440" w:gutter="0" w:footer="0" w:header="0"/>
        </w:sectPr>
      </w:pPr>
    </w:p>
    <w:bookmarkStart w:id="8" w:name="page9"/>
    <w:bookmarkEnd w:id="8"/>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acquisition, making it more difficult to conduct business as usual or maintain relationships with employees, customers, suppliers, other business partners or governmental entities; negative effects of the consummation of the acquisition on the market price of Neurocrine’s common stock and/or Neurocrine’s operating results, including the possibility that if Neurocrine does not achieve the perceived benefits of the acquisition as rapidly or to the extent anticipated by financial analysts or investors, the market price of Neurocrine’s common stock could decline; significant transaction and integration costs; unknown or inestimable liabilities; the risk of litigation and/or regulatory actions related to the acquisition; Neurocrine’s ability to effectively commercialize VYKAT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XR (diazoxide choline); the degree and pace of market uptake of VYKAT XR; obtaining and maintaining adequate coverage and reimbursement for Neurocrine’s products, including VYKAT XR; the time-consuming and uncertain regulatory approval process; the costly and time-consuming pharmaceutical product development process and the uncertainty of clinical success, including risks related to failure or delays in successfully initiating or completing clinical trials; global economic, financial, and healthcare system disruptions and the current and potential future negative impacts to Neurocrine’s business operations and financial results; the sufficiency of Neurocrine’s cash flows and capital resources; Neurocrine’s ability to achieve targeted or expected future financial performance and results and the uncertainty of future tax, accounting and other provisions and estimates; and other risks and uncertainties affecting Neurocrine, including those described from time to time under the caption “Risk Factors” and elsewhere in Neurocrine’s filings and reports with the U.S. Securities and Exchange Commission (“SEC”), including Neurocrine’s Quarterly Report on Form 10-Q for the period ended March 31, 2026. Any forward-looking statements are made based on the current beliefs and judgments of Neurocrine’s management team, and the reader is cautioned not to rely on any forward-looking statements made by Neurocrine. Except as required by law, Neurocrine does not undertake any obligation to update (publicly or otherwise) any forward-looking statement, including without limitation any financial projection or guidance, whether as a result of new information, future events, or otherwise.</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2026-05-18T07:58:39Z</dcterms:created>
  <dcterms:modified xsi:type="dcterms:W3CDTF">2026-05-18T07:58:39Z</dcterms:modified>
</cp:coreProperties>
</file>