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lno-20231231.htm"/>
      <w:bookmarkStart w:id="1" w:name="ksslno2023123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4"/>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fiscal year ended: December 31, 2023</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 .</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Commission File No.: 001-36593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2"/>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418" w:type="dxa"/>
        <w:jc w:val="left"/>
        <w:tblInd w:w="0" w:type="dxa"/>
        <w:tblLayout w:type="fixed"/>
        <w:tblCellMar>
          <w:top w:w="28" w:type="dxa"/>
          <w:left w:w="28" w:type="dxa"/>
          <w:bottom w:w="28" w:type="dxa"/>
          <w:right w:w="28" w:type="dxa"/>
        </w:tblCellMar>
      </w:tblPr>
      <w:tblGrid>
        <w:gridCol w:w="2026"/>
        <w:gridCol w:w="146"/>
        <w:gridCol w:w="124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77-0523891</w:t>
            </w:r>
          </w:p>
        </w:tc>
      </w:tr>
      <w:tr>
        <w:trPr/>
        <w:tc>
          <w:tcPr>
            <w:tcW w:w="202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2521"/>
        <w:gridCol w:w="146"/>
        <w:gridCol w:w="78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203 Redwood Shores Parkway, Suite 500</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Redwood City, California</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94065</w:t>
            </w:r>
          </w:p>
        </w:tc>
      </w:tr>
      <w:tr>
        <w:trPr/>
        <w:tc>
          <w:tcPr>
            <w:tcW w:w="252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4"/>
        </w:rPr>
        <w:t>Registrant’s telephone number, including area code: (650) 213-8444</w:t>
      </w:r>
      <w:r>
        <w:rPr>
          <w:rFonts w:ascii="Times New Roman" w:hAnsi="Times New Roman"/>
          <w:color w:val="000000"/>
          <w:sz w:val="20"/>
        </w:rPr>
        <w:t xml:space="preserve"> </w:t>
      </w:r>
    </w:p>
    <w:tbl>
      <w:tblPr>
        <w:tblW w:w="5958" w:type="dxa"/>
        <w:jc w:val="left"/>
        <w:tblInd w:w="0" w:type="dxa"/>
        <w:tblLayout w:type="fixed"/>
        <w:tblCellMar>
          <w:top w:w="28" w:type="dxa"/>
          <w:left w:w="28" w:type="dxa"/>
          <w:bottom w:w="28" w:type="dxa"/>
          <w:right w:w="28" w:type="dxa"/>
        </w:tblCellMar>
      </w:tblPr>
      <w:tblGrid>
        <w:gridCol w:w="2026"/>
        <w:gridCol w:w="1231"/>
        <w:gridCol w:w="2701"/>
      </w:tblGrid>
      <w:tr>
        <w:trPr/>
        <w:tc>
          <w:tcPr>
            <w:tcW w:w="20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vAlign w:val="center"/>
          </w:tcPr>
          <w:p>
            <w:pPr>
              <w:pStyle w:val="TableContents"/>
              <w:bidi w:val="0"/>
              <w:ind w:left="0" w:right="0" w:firstLine="490"/>
              <w:jc w:val="left"/>
              <w:rPr/>
            </w:pPr>
            <w:r>
              <w:rPr/>
              <w:t> </w:t>
            </w:r>
          </w:p>
          <w:p>
            <w:pPr>
              <w:pStyle w:val="TableContents"/>
              <w:bidi w:val="0"/>
              <w:spacing w:before="0" w:after="283"/>
              <w:ind w:left="0" w:right="0" w:firstLine="490"/>
              <w:jc w:val="left"/>
              <w:rPr>
                <w:rFonts w:ascii="Times New Roman" w:hAnsi="Times New Roman"/>
                <w:b/>
                <w:color w:val="000000"/>
                <w:sz w:val="14"/>
              </w:rPr>
            </w:pPr>
            <w:r>
              <w:rPr>
                <w:rFonts w:ascii="Times New Roman" w:hAnsi="Times New Roman"/>
                <w:b/>
                <w:color w:val="000000"/>
                <w:sz w:val="14"/>
              </w:rPr>
              <w:t>Securities registered pursuant to Section 12(b) of the Act:</w:t>
            </w:r>
          </w:p>
        </w:tc>
      </w:tr>
      <w:tr>
        <w:trPr/>
        <w:tc>
          <w:tcPr>
            <w:tcW w:w="20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27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02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$0.001 par value</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SLNO</w:t>
            </w:r>
          </w:p>
        </w:tc>
        <w:tc>
          <w:tcPr>
            <w:tcW w:w="27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NASDAQ</w:t>
            </w:r>
          </w:p>
        </w:tc>
      </w:tr>
    </w:tbl>
    <w:p>
      <w:pPr>
        <w:pStyle w:val="TextBody"/>
        <w:bidi w:val="0"/>
        <w:jc w:val="center"/>
        <w:rPr/>
      </w:pPr>
      <w:r>
        <w:rPr/>
        <w:t> </w:t>
      </w:r>
    </w:p>
    <w:p>
      <w:pPr>
        <w:pStyle w:val="TextBody"/>
        <w:bidi w:val="0"/>
        <w:jc w:val="left"/>
        <w:rPr>
          <w:rFonts w:ascii="Times New Roman" w:hAnsi="Times New Roman"/>
          <w:b/>
          <w:color w:val="000000"/>
          <w:sz w:val="14"/>
        </w:rPr>
      </w:pPr>
      <w:r>
        <w:rPr>
          <w:rFonts w:ascii="Times New Roman" w:hAnsi="Times New Roman"/>
          <w:b/>
          <w:color w:val="000000"/>
          <w:sz w:val="14"/>
        </w:rPr>
        <w:t>Securities Registered Pursuant to Section 12(g) of the Act: None.</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4"/>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3855" w:type="dxa"/>
        <w:jc w:val="left"/>
        <w:tblInd w:w="0" w:type="dxa"/>
        <w:tblLayout w:type="fixed"/>
        <w:tblCellMar>
          <w:top w:w="28" w:type="dxa"/>
          <w:left w:w="28" w:type="dxa"/>
          <w:bottom w:w="28" w:type="dxa"/>
          <w:right w:w="28" w:type="dxa"/>
        </w:tblCellMar>
      </w:tblPr>
      <w:tblGrid>
        <w:gridCol w:w="1366"/>
        <w:gridCol w:w="316"/>
        <w:gridCol w:w="146"/>
        <w:gridCol w:w="1666"/>
        <w:gridCol w:w="361"/>
      </w:tblGrid>
      <w:tr>
        <w:trPr/>
        <w:tc>
          <w:tcPr>
            <w:tcW w:w="1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4"/>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The aggregate market value of stock held by non-affiliates of the registrant on June 30, 2023, based on the closing price of $4.29 for shares of the registrant’s common stock as reported by the Nasdaq Capital Market, was approximately $33.1</w:t>
      </w:r>
      <w:r>
        <w:rPr>
          <w:rFonts w:ascii="Times New Roman" w:hAnsi="Times New Roman"/>
          <w:color w:val="000000"/>
          <w:sz w:val="20"/>
        </w:rPr>
        <w:t xml:space="preserve"> </w:t>
      </w:r>
      <w:r>
        <w:rPr>
          <w:rFonts w:ascii="Times New Roman" w:hAnsi="Times New Roman"/>
          <w:color w:val="000000"/>
          <w:sz w:val="14"/>
        </w:rPr>
        <w:t>million. Shares of Common Stock held by each executive officer, director and beneficial holder of 5% or more of the outstanding Common Stock have been excluded in that such persons may be deemed affiliates.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As of March 1, 2024, there were 32,460,579</w:t>
      </w:r>
      <w:r>
        <w:rPr>
          <w:rFonts w:ascii="Times New Roman" w:hAnsi="Times New Roman"/>
          <w:color w:val="000000"/>
          <w:sz w:val="20"/>
        </w:rPr>
        <w:t xml:space="preserve"> </w:t>
      </w:r>
      <w:r>
        <w:rPr>
          <w:rFonts w:ascii="Times New Roman" w:hAnsi="Times New Roman"/>
          <w:color w:val="000000"/>
          <w:sz w:val="14"/>
        </w:rPr>
        <w:t>shares of the registrant’s Common Stock, par value $0.001 per share, outstanding.</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4"/>
        </w:rPr>
        <w:t>DOCUMENTS INCORPORATED BY REFERENCE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Portions of the registrant’s Definitive Proxy Statement to be filed with the Commission pursuant to Regulation 14A in connection with the registrant’s 2024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2023. Except with respect to information specifically incorporated by reference in this Form 10-K, the Proxy Statement is not deemed to be filed as part of this Form 10-K.</w:t>
      </w:r>
    </w:p>
    <w:p>
      <w:pPr>
        <w:pStyle w:val="TextBody"/>
        <w:bidi w:val="0"/>
        <w:spacing w:before="40" w:after="283"/>
        <w:jc w:val="center"/>
        <w:rPr>
          <w:rFonts w:ascii="Times New Roman" w:hAnsi="Times New Roman"/>
          <w:sz w:val="20"/>
        </w:rPr>
      </w:pPr>
      <w:r>
        <w:rPr>
          <w:rFonts w:ascii="Times New Roman" w:hAnsi="Times New Roman"/>
          <w:color w:val="000000"/>
          <w:sz w:val="14"/>
        </w:rPr>
        <w:t>Auditor Name: Marcum LLP</w:t>
      </w:r>
      <w:r>
        <w:rPr>
          <w:rFonts w:ascii="Times New Roman" w:hAnsi="Times New Roman"/>
          <w:color w:val="000000"/>
          <w:sz w:val="20"/>
        </w:rPr>
        <w:t xml:space="preserve"> </w:t>
      </w:r>
      <w:r>
        <w:rPr>
          <w:rFonts w:ascii="Times New Roman" w:hAnsi="Times New Roman"/>
          <w:color w:val="000000"/>
          <w:sz w:val="14"/>
        </w:rPr>
        <w:t>Auditor Location: San Francisco, CA</w:t>
      </w:r>
      <w:r>
        <w:rPr>
          <w:rFonts w:ascii="Times New Roman" w:hAnsi="Times New Roman"/>
          <w:color w:val="000000"/>
          <w:sz w:val="20"/>
        </w:rPr>
        <w:t xml:space="preserve"> </w:t>
      </w:r>
      <w:r>
        <w:rPr>
          <w:rFonts w:ascii="Times New Roman" w:hAnsi="Times New Roman"/>
          <w:color w:val="000000"/>
          <w:sz w:val="14"/>
        </w:rPr>
        <w:t>Auditor Firm ID: 688</w:t>
      </w:r>
      <w:r>
        <w:rPr>
          <w:rFonts w:ascii="Times New Roman" w:hAnsi="Times New Roman"/>
          <w:color w:val="000000"/>
          <w:sz w:val="20"/>
        </w:rPr>
        <w:t xml:space="preserve"> </w:t>
      </w:r>
    </w:p>
    <w:p>
      <w:pPr>
        <w:pStyle w:val="TextBody"/>
        <w:pBdr>
          <w:bottom w:val="double" w:sz="6"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Report on Form 10-K</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Year Ended December 31,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60"/>
        <w:gridCol w:w="8978"/>
        <w:gridCol w:w="467"/>
      </w:tblGrid>
      <w:tr>
        <w:trPr/>
        <w:tc>
          <w:tcPr>
            <w:tcW w:w="760" w:type="dxa"/>
            <w:tcBorders/>
            <w:vAlign w:val="center"/>
          </w:tcPr>
          <w:p>
            <w:pPr>
              <w:pStyle w:val="TableContents"/>
              <w:bidi w:val="0"/>
              <w:spacing w:before="0" w:after="283"/>
              <w:jc w:val="left"/>
              <w:rPr>
                <w:sz w:val="4"/>
                <w:szCs w:val="4"/>
              </w:rPr>
            </w:pPr>
            <w:r>
              <w:rPr>
                <w:sz w:val="4"/>
                <w:szCs w:val="4"/>
              </w:rPr>
            </w:r>
          </w:p>
        </w:tc>
        <w:tc>
          <w:tcPr>
            <w:tcW w:w="89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r>
              <w:rPr>
                <w:rFonts w:ascii="Times New Roman" w:hAnsi="Times New Roman"/>
                <w:color w:val="000000"/>
                <w:sz w:val="20"/>
              </w:rPr>
              <w:t xml:space="preserve">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78"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78"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978"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978"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78"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78"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78"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r>
      <w:tr>
        <w:trPr/>
        <w:tc>
          <w:tcPr>
            <w:tcW w:w="760" w:type="dxa"/>
            <w:tcBorders/>
            <w:vAlign w:val="center"/>
          </w:tcPr>
          <w:p>
            <w:pPr>
              <w:pStyle w:val="TableContents"/>
              <w:bidi w:val="0"/>
              <w:spacing w:before="0" w:after="283"/>
              <w:jc w:val="center"/>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78"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78"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978"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978"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978" w:type="dxa"/>
            <w:tcBorders/>
            <w:vAlign w:val="center"/>
          </w:tcPr>
          <w:p>
            <w:pPr>
              <w:pStyle w:val="TableContents"/>
              <w:bidi w:val="0"/>
              <w:spacing w:before="0" w:after="283"/>
              <w:jc w:val="left"/>
              <w:rPr/>
            </w:pPr>
            <w:hyperlink w:anchor="item_8_consolidated_financial_statements">
              <w:r>
                <w:rPr>
                  <w:rStyle w:val="InternetLink"/>
                  <w:rFonts w:ascii="Times New Roman" w:hAnsi="Times New Roman"/>
                  <w:color w:val="0000FF"/>
                  <w:sz w:val="20"/>
                  <w:u w:val="single"/>
                </w:rPr>
                <w:t>Financial Statements and Supplementary Data</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978" w:type="dxa"/>
            <w:tcBorders/>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978" w:type="dxa"/>
            <w:tcBorders/>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978" w:type="dxa"/>
            <w:tcBorders/>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978" w:type="dxa"/>
            <w:tcBorders/>
            <w:vAlign w:val="center"/>
          </w:tcPr>
          <w:p>
            <w:pPr>
              <w:pStyle w:val="TableContents"/>
              <w:bidi w:val="0"/>
              <w:spacing w:before="0" w:after="283"/>
              <w:jc w:val="left"/>
              <w:rPr/>
            </w:pPr>
            <w:hyperlink w:anchor="item_9c_disclousre_regarding_foreign_jur">
              <w:r>
                <w:rPr>
                  <w:rStyle w:val="InternetLink"/>
                  <w:rFonts w:ascii="Times New Roman" w:hAnsi="Times New Roman"/>
                  <w:color w:val="0000FF"/>
                  <w:sz w:val="20"/>
                  <w:u w:val="single"/>
                </w:rPr>
                <w:t>Disclosure Regarding Foreign Jurisdictions that Prevent Inspections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r>
      <w:tr>
        <w:trPr/>
        <w:tc>
          <w:tcPr>
            <w:tcW w:w="760" w:type="dxa"/>
            <w:tcBorders/>
            <w:vAlign w:val="center"/>
          </w:tcPr>
          <w:p>
            <w:pPr>
              <w:pStyle w:val="TableContents"/>
              <w:bidi w:val="0"/>
              <w:spacing w:before="0" w:after="283"/>
              <w:jc w:val="center"/>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978" w:type="dxa"/>
            <w:tcBorders/>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r>
              <w:rPr>
                <w:rFonts w:ascii="Times New Roman" w:hAnsi="Times New Roman"/>
                <w:color w:val="000000"/>
                <w:sz w:val="20"/>
              </w:rPr>
              <w:t xml:space="preserve"> </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978"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978" w:type="dxa"/>
            <w:tcBorders/>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978" w:type="dxa"/>
            <w:tcBorders/>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978" w:type="dxa"/>
            <w:tcBorders/>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r>
      <w:tr>
        <w:trPr/>
        <w:tc>
          <w:tcPr>
            <w:tcW w:w="760" w:type="dxa"/>
            <w:tcBorders/>
            <w:vAlign w:val="center"/>
          </w:tcPr>
          <w:p>
            <w:pPr>
              <w:pStyle w:val="TableContents"/>
              <w:bidi w:val="0"/>
              <w:spacing w:before="0" w:after="283"/>
              <w:jc w:val="center"/>
              <w:rPr/>
            </w:pPr>
            <w:r>
              <w:rPr/>
              <w:t> </w:t>
            </w:r>
          </w:p>
        </w:tc>
        <w:tc>
          <w:tcPr>
            <w:tcW w:w="8978" w:type="dxa"/>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978"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r>
              <w:rPr>
                <w:rFonts w:ascii="Times New Roman" w:hAnsi="Times New Roman"/>
                <w:color w:val="000000"/>
                <w:sz w:val="20"/>
              </w:rPr>
              <w:t xml:space="preserve"> </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738" w:type="dxa"/>
            <w:gridSpan w:val="2"/>
            <w:tcBorders/>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38" w:type="dxa"/>
            <w:gridSpan w:val="2"/>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or the Exchange Act, particularly in Part I, Item 1: “Business,” Part I, Item 1A: “Risk Factors” and Part 2, Item 7: “Management’s Discussion and Analysis of Financial Condition and Results of Operations.” These statements are often identified by the use of words such as “may,” “will,” “expect,” “believe,” “anticipate,” “intend,” “could,” “should,” “estimate,” “plan” or “continue,” and similar expressions or variations. All statements other than statements of historical fact could be deemed forward-looking, including, but not limited to: any statements regarding the timing of any regulatory process or ultimate approvals and determining a path forward for DCCR (Diazoxide Choline) Extended-Release tablets for the treatment of Prader-Willi syndrome; any projections of financial information; any statements about historical results that may suggest trends for our business; any statements of the plans, strategies, and objectives of management for future operations; any statements of expectation or belief regarding future events, technology developments, our products, product sales, expenses, liquidity, cash flow, market growth rates or enforceability of our intellectual property rights and related litigation expenses; and any statements of assumptions underlying any of the foregoing. Such forward-looking statements are subject to risks, uncertainties and other factors that could cause actual results and the timing of certain events to differ materially from future results expressed or implied by such forward-looking statements. Accordingly, we caution you not to place undue reliance on these statements. Particular uncertainties that could affect future results include: our ability to achieve or maintain profitability; our ability to obtain substantial additional capital that may be necessary to maintain or expand our business; our ability to maintain internal control over financial reporting; our dependence on, and need to attract and retain, key management and other personnel; our ability to obtain, protect and enforce our intellectual property rights; potential advantages that our competitors and potential competitors may have in securing funding or developing products; business interruptions such as earthquakes and other natural disasters; our ability to comply with laws and regulations; potential product liability claims; and our ability to use our net operating loss carryforwards to offset future taxable income. For a discussion of some of the factors that could cause actual results to differ materially from our forward-looking statements, see the discussion on risk factors that appear in Part I, Item 1A: “Risk Factors” of this Annual Report on Form 10-K and other risks and uncertainties detailed in this and our other reports and filings with the Securities and Exchange Commission, or SEC.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focused on the development and commercialization of novel therapeutics for the treatment of rare diseases. Our lead candidate, DCCR (Diazoxide Choline) Extended-Release tablets, is a potent ATP-sensitive potassium (K</w:t>
      </w:r>
      <w:r>
        <w:rPr>
          <w:rFonts w:ascii="Times New Roman" w:hAnsi="Times New Roman"/>
          <w:color w:val="000000"/>
          <w:sz w:val="11"/>
        </w:rPr>
        <w:t>ATP</w:t>
      </w:r>
      <w:r>
        <w:rPr>
          <w:rFonts w:ascii="Times New Roman" w:hAnsi="Times New Roman"/>
          <w:color w:val="000000"/>
          <w:sz w:val="20"/>
        </w:rPr>
        <w:t>) channel activator. The K</w:t>
      </w:r>
      <w:r>
        <w:rPr>
          <w:rFonts w:ascii="Times New Roman" w:hAnsi="Times New Roman"/>
          <w:color w:val="000000"/>
          <w:sz w:val="11"/>
        </w:rPr>
        <w:t>ATP</w:t>
      </w:r>
      <w:r>
        <w:rPr>
          <w:rFonts w:ascii="Times New Roman" w:hAnsi="Times New Roman"/>
          <w:color w:val="000000"/>
          <w:sz w:val="20"/>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DCCR’s unique mode of action with targets in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designation for the drug in the United States (U.S.) and European Union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DCCR has been evaluated in a Phase 3 study (C601 or DESTINY PWS), a 13-week randomized, double-blind placebo-controlled study, which completed enrollment in January 2020, with 127 randomized participants at 29 sites in the U.S. and United Kingdom (U.K.). Participants who completed DESTINY PWS and sought continued treatment with DCCR were eligible to receive DCCR in a long-term open-label safety extension study (C602). Top line results from DESTINY PWS were announced in June 2020. Although the trial did not meet its primary endpoint of change from baseline in hyperphagia, significant improvements were observed in two of three key secondary endpoints.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2021, we announced analysis limited to data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Food and Drug Administration (FDA) provided official meeting minutes from a Type C meeting in January 2022 that recommended additional controlled data be included in a New Drug Approval (NDA) submission.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submitted an amended protocol that incorporated a randomized withdrawal (RW) period to Study C602 to obtain additional controlled data requested by the FDA and the FDA has acknowledged that data from the study has the potential to support an NDA submission for DCCR. The RW period of Study C602 was a multi-center, randomized, double-blind, placebo-controlled study of DCCR in 77 patients with PWS at 17 sites in the U.S. and 5 sites in the U.K. This RW period consisted only of patients previously enrolled in Study C602 and did not enroll any new patients. We announced the initiation of the RW period for Study C602 in October 2022, and completed enrollment in May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26, 2023, we announced positive statistically significant top-line results from the RW period of Study C602.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matter of review following the submission of an NDA. We plan to submit our NDA for DCCR to the FDA in mid-2024.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focus is the development of DCCR for PWS. However, other syndromes that may be similarly addressed include SH2B1 deficient obesity, Fragile X Prader-Willi Phenotype, KSR2 deficient obesity and other hyperphagic conditions. Another type of disease where DCCR may be efficacious is where hypoglycemia due to excess insulin secretion is a significant problem. Examples include hyperinsulinemic hypoglycemia and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Glycogen Storage Diseases. We have orphan drug designation for the treatment of Glycogen Storage Disease Type 1a in the U.S.</w:t>
      </w:r>
    </w:p>
    <w:p>
      <w:pPr>
        <w:pStyle w:val="TextBody"/>
        <w:bidi w:val="0"/>
        <w:spacing w:before="360" w:after="283"/>
        <w:jc w:val="left"/>
        <w:rPr>
          <w:rFonts w:ascii="Times New Roman" w:hAnsi="Times New Roman"/>
          <w:sz w:val="20"/>
        </w:rPr>
      </w:pPr>
      <w:r>
        <w:rPr>
          <w:rFonts w:ascii="Times New Roman" w:hAnsi="Times New Roman"/>
          <w:b/>
          <w:color w:val="000000"/>
          <w:sz w:val="20"/>
        </w:rPr>
        <w:t>Diazoxide Choline Extended-Release Tablets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hAnsi="Times New Roman"/>
          <w:color w:val="000000"/>
          <w:sz w:val="13"/>
        </w:rPr>
        <w:t>ATP</w:t>
      </w:r>
      <w:r>
        <w:rPr>
          <w:rFonts w:ascii="Times New Roman" w:hAnsi="Times New Roman"/>
          <w:color w:val="000000"/>
          <w:sz w:val="20"/>
        </w:rPr>
        <w:t xml:space="preserve"> channels and appears to act on signs and symptoms of PWS in a variety of ways. Activating the K</w:t>
      </w:r>
      <w:r>
        <w:rPr>
          <w:rFonts w:ascii="Times New Roman" w:hAnsi="Times New Roman"/>
          <w:color w:val="000000"/>
          <w:sz w:val="13"/>
        </w:rPr>
        <w:t>ATP</w:t>
      </w:r>
      <w:r>
        <w:rPr>
          <w:rFonts w:ascii="Times New Roman" w:hAnsi="Times New Roman"/>
          <w:color w:val="000000"/>
          <w:sz w:val="20"/>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hAnsi="Times New Roman"/>
          <w:color w:val="000000"/>
          <w:sz w:val="13"/>
        </w:rPr>
        <w:t>ATP</w:t>
      </w:r>
      <w:r>
        <w:rPr>
          <w:rFonts w:ascii="Times New Roman" w:hAnsi="Times New Roman"/>
          <w:color w:val="000000"/>
          <w:sz w:val="20"/>
        </w:rPr>
        <w:t xml:space="preserve"> channel in the dorsal motor nucleus of vagus may potentiate the effects of leptin, insulin and -melanocortin stimulating hormone to reduce hyperinsulinemia and impact appetite and satiety. Activating the K</w:t>
      </w:r>
      <w:r>
        <w:rPr>
          <w:rFonts w:ascii="Times New Roman" w:hAnsi="Times New Roman"/>
          <w:color w:val="000000"/>
          <w:sz w:val="13"/>
        </w:rPr>
        <w:t>ATP</w:t>
      </w:r>
      <w:r>
        <w:rPr>
          <w:rFonts w:ascii="Times New Roman" w:hAnsi="Times New Roman"/>
          <w:color w:val="000000"/>
          <w:sz w:val="20"/>
        </w:rPr>
        <w:t xml:space="preserve"> in pancreatic ß-cells can reduce the secretion of insulin, and further reduce the accumulation of excess body fat and the progression to insulin resistance. Activating the K</w:t>
      </w:r>
      <w:r>
        <w:rPr>
          <w:rFonts w:ascii="Times New Roman" w:hAnsi="Times New Roman"/>
          <w:color w:val="000000"/>
          <w:sz w:val="13"/>
        </w:rPr>
        <w:t>ATP</w:t>
      </w:r>
      <w:r>
        <w:rPr>
          <w:rFonts w:ascii="Times New Roman" w:hAnsi="Times New Roman"/>
          <w:color w:val="000000"/>
          <w:sz w:val="20"/>
        </w:rPr>
        <w:t xml:space="preserve"> channel in adipocytes has the potential to decrease de-novo triglyceride synthesis and increase ß-oxidation of fat, reducing fat mass.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diazoxide was first approved in 1973 as an intravenous formulation for the emergency treatment of malignant hypertension. In 1976, immediate-release oral formulations including Proglycem® Oral Suspension and Capsules, or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potentially reducing the adverse events often associated with transiently high circulating drug levels and providing efficacy at lower diazoxide-equivalent doses.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Prader-Willi Syndrome (PWS)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the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pStyle w:val="TextBody"/>
        <w:bidi w:val="0"/>
        <w:spacing w:before="240" w:after="283"/>
        <w:jc w:val="left"/>
        <w:rPr>
          <w:rFonts w:ascii="Times New Roman" w:hAnsi="Times New Roman"/>
          <w:sz w:val="20"/>
        </w:rPr>
      </w:pPr>
      <w:r>
        <w:rPr>
          <w:rFonts w:ascii="Times New Roman" w:hAnsi="Times New Roman"/>
          <w:b/>
          <w:i/>
          <w:color w:val="000000"/>
          <w:sz w:val="20"/>
        </w:rPr>
        <w:t>Unmet Medical Needs in PWS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target indication for DCCR is the treatment of PWS. Currently, the only approved treatment related to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Arial" w:hAnsi="Arial"/>
          <w:sz w:val="18"/>
        </w:rPr>
        <w:t>https://www.fpwr.org/pws-patient-voices</w:t>
      </w:r>
      <w:r>
        <w:rPr>
          <w:rFonts w:ascii="Times New Roman" w:hAnsi="Times New Roman"/>
          <w:color w:val="000000"/>
          <w:sz w:val="20"/>
        </w:rPr>
        <w:t xml:space="preserve">.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Therefore, there is a clear unmet need in the treatment of PWS to reduce hyperphagia and improve behaviors around food, and to reduce other behavioral and cognitive impacts of this complex disease. In addition, improving metabolic health is also an important unmet need.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 of DCCR for PWS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Phase 2 clinical trial was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above in the Company Overview, a Phase 3 clinical trial, DESTINY PWS, was subsequently conducted to evaluate the efficacy and safety of DCCR in patients with genetically-confirmed PWS. Top-line results were reported in June 2020. Although the trial did not meet its primary endpoint of change from baseline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hyperphagia, significant improvements were observed in two of three key secondary endpoints. Subjects who complete the DESTINY PWS study were allowed to enroll in a long-term, safety extension study (C602). In September 2021, we announced top-line results from the analysis of one-year data from C602 showing statistically significant reduction in hyperphagia and all other PWS behavioral parameters and statistically significant improvements compared to the natural history of PWS from the PATH for PWS Study (PATH) over a one-year treatment period. PATH is an ongoing study sponsored by the Foundation for Prader Willi Research (FPWR) evaluating the natural history of subjects with PWS in more than 700 families. In October 2022 we announced the initiation of the RW period of Study C602, which was a multi-center, randomized, double-blind, placebo-controlled study of DCCR in 77 patients with PWS at 17 sites in the U.S. and 5 sites in the U.K. This RW period consisted only of patients previously enrolled in Study C602 and did not enroll any new patients. In May 2023, we completed enrollment and we announced positive statistically significant top-line results from the RW period of Study C602 in September 2023.</w:t>
      </w:r>
    </w:p>
    <w:p>
      <w:pPr>
        <w:pStyle w:val="TextBody"/>
        <w:bidi w:val="0"/>
        <w:spacing w:before="240" w:after="283"/>
        <w:jc w:val="left"/>
        <w:rPr>
          <w:rFonts w:ascii="Times New Roman" w:hAnsi="Times New Roman"/>
          <w:sz w:val="20"/>
        </w:rPr>
      </w:pPr>
      <w:r>
        <w:rPr>
          <w:rFonts w:ascii="Times New Roman" w:hAnsi="Times New Roman"/>
          <w:b/>
          <w:i/>
          <w:color w:val="000000"/>
          <w:sz w:val="20"/>
        </w:rPr>
        <w:t>Safety of DCCR in the Treatment of PWS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Across the combined C601 (DESTINY-PWS), and C602 long-term open-label extension (OLE) studies (which included DCCR treatment durations of up to ~4.5 years), 98.4% of participants reported treatment emergent adverse events (TEAEs). Most were grade 1 or 2 (75.2%), with no grade 4 or higher events. The most common TEAEs were hypertrichosis (68.8%), peripheral edema (34.4%), hirsutism (27.2%) and hyperglycemia (27.2%).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participants with hypertrichosis, hirsutism, or hyperglycemia experienced resolution or improvement of their symptoms with continued DCCR dosing through the end of the study. Infrequently, DCCR dose adjustments or glucose-lowering agents (for hyperglycemia) and diuretics (for peripheral edema) were prescribed to manage participants experiencing these TEAEs.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One participant with a known history of psychiatric illness reported a suspected unexpected serious adverse reaction (SUSAR) of aggression in the ongoing C614 open label extension study. </w:t>
      </w:r>
    </w:p>
    <w:p>
      <w:pPr>
        <w:pStyle w:val="TextBody"/>
        <w:bidi w:val="0"/>
        <w:jc w:val="left"/>
        <w:rPr>
          <w:rFonts w:ascii="Times New Roman" w:hAnsi="Times New Roman"/>
          <w:color w:val="000000"/>
          <w:sz w:val="20"/>
        </w:rPr>
      </w:pPr>
      <w:r>
        <w:rPr>
          <w:rFonts w:ascii="Times New Roman" w:hAnsi="Times New Roman"/>
          <w:color w:val="000000"/>
          <w:sz w:val="20"/>
        </w:rPr>
        <w:t xml:space="preserve">Overall, the safety profile of DCCR in the Phase 3 PWS clinical development program was generally consistent with the known safety profile of diazoxide and prior experience with DCCR. </w:t>
      </w:r>
    </w:p>
    <w:p>
      <w:pPr>
        <w:pStyle w:val="TextBody"/>
        <w:bidi w:val="0"/>
        <w:spacing w:before="240" w:after="283"/>
        <w:jc w:val="left"/>
        <w:rPr>
          <w:rFonts w:ascii="Times New Roman" w:hAnsi="Times New Roman"/>
          <w:sz w:val="20"/>
        </w:rPr>
      </w:pPr>
      <w:r>
        <w:rPr>
          <w:rFonts w:ascii="Times New Roman" w:hAnsi="Times New Roman"/>
          <w:b/>
          <w:i/>
          <w:color w:val="000000"/>
          <w:sz w:val="20"/>
        </w:rPr>
        <w:t>Regulatory Status of DCCR for the Treatment of PWS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The current status of our Phase 3 clinical trial is described above in the Company Overview.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Market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dynamics exist in Europe. In contrast, we will likely need to identify a marketing partner for DCCR in Japan, and the rest of the world. The final decision on sales and marketing strategy will be made at a later date.</w:t>
      </w:r>
    </w:p>
    <w:p>
      <w:pPr>
        <w:pStyle w:val="TextBody"/>
        <w:bidi w:val="0"/>
        <w:spacing w:before="240" w:after="283"/>
        <w:jc w:val="left"/>
        <w:rPr>
          <w:rFonts w:ascii="Times New Roman" w:hAnsi="Times New Roman"/>
          <w:sz w:val="20"/>
        </w:rPr>
      </w:pPr>
      <w:r>
        <w:rPr>
          <w:rFonts w:ascii="Times New Roman" w:hAnsi="Times New Roman"/>
          <w:b/>
          <w:i/>
          <w:color w:val="000000"/>
          <w:sz w:val="20"/>
        </w:rPr>
        <w:t>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 </w:t>
      </w:r>
    </w:p>
    <w:p>
      <w:pPr>
        <w:pStyle w:val="TextBody"/>
        <w:bidi w:val="0"/>
        <w:spacing w:before="240" w:after="283"/>
        <w:jc w:val="left"/>
        <w:rPr>
          <w:rFonts w:ascii="Times New Roman" w:hAnsi="Times New Roman"/>
          <w:sz w:val="20"/>
        </w:rPr>
      </w:pPr>
      <w:r>
        <w:rPr>
          <w:rFonts w:ascii="Times New Roman" w:hAnsi="Times New Roman"/>
          <w:b/>
          <w:i/>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only approved products for PWS are Genotropin® (somatropin), and Omnitrope®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Acadia Pharmaceuticals, Aardvark Therapeutics, Gedeon Richter, and Consynance. </w:t>
      </w:r>
    </w:p>
    <w:p>
      <w:pPr>
        <w:pStyle w:val="TextBody"/>
        <w:bidi w:val="0"/>
        <w:spacing w:before="36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manufacturing strategy is to contract with third parties to manufacture our clinical and commercial API and drug product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 </w:t>
      </w:r>
    </w:p>
    <w:p>
      <w:pPr>
        <w:pStyle w:val="TextBody"/>
        <w:bidi w:val="0"/>
        <w:spacing w:before="240" w:after="283"/>
        <w:jc w:val="left"/>
        <w:rPr>
          <w:rFonts w:ascii="Times New Roman" w:hAnsi="Times New Roman"/>
          <w:sz w:val="20"/>
        </w:rPr>
      </w:pPr>
      <w:r>
        <w:rPr>
          <w:rFonts w:ascii="Times New Roman" w:hAnsi="Times New Roman"/>
          <w:b/>
          <w:i/>
          <w:color w:val="000000"/>
          <w:sz w:val="20"/>
        </w:rPr>
        <w:t>Regulation of Pharmaceutical Manufacturing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manufacturing process for pharmaceutical products is highly regulated and regulators may shut down manufacturing facilities that they believe do not comply with regulations, legislations, and/or guidelines.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DCCR Patent Portfolio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patent portfolio consists of issued U.S. patents and pending U.S. applications. The 20-year expiration dates of our issued U.S. patents are between 2025 to 2035. We also have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 </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 - Pharmaceuticals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activities are subject to extensive regulation by government authorities in the U.S. and in other countries in which we elect to develop and/or commercialize our products. Our developmental drug products are subject to rigorous regulation. Federal and state statutes and regulations govern the testing, manufacture, safety,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labeling, storage, record keeping, approval, advertising and promotion of our products. As a result of these regulations, product development and product approval processes are very expensive and time consuming.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country’s regulatory agency, such as the FDA in the U.S., or a region’s agency, such as the EMA for the E.U., must approve a drug before it can be sold in the respective country or countries. The general process for drug approval in the U.S. is summarized below. Many other countries, including countries in the E.U., U.K. and Japan, have very similar regulatory approval processes.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 drug candidate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Carcinogenicity studies in two species are generally required for products intended for long-term use.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Investigational New Drug Exemption Application (IND)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clinical trials involve three separate phases that often overlap, can take many years and are very expensive. These three phases, which are subject to considerable regulation, are as follows: </w:t>
      </w:r>
    </w:p>
    <w:p>
      <w:pPr>
        <w:pStyle w:val="TextBody"/>
        <w:bidi w:val="0"/>
        <w:spacing w:before="240" w:after="283"/>
        <w:jc w:val="left"/>
        <w:rPr>
          <w:rFonts w:ascii="Times New Roman" w:hAnsi="Times New Roman"/>
          <w:sz w:val="20"/>
        </w:rPr>
      </w:pPr>
      <w:r>
        <w:rPr>
          <w:rFonts w:ascii="Times New Roman" w:hAnsi="Times New Roman"/>
          <w:i/>
          <w:color w:val="000000"/>
          <w:sz w:val="20"/>
        </w:rPr>
        <w:t>Phase 1 Studies</w:t>
      </w:r>
      <w:r>
        <w:rPr>
          <w:rFonts w:ascii="Times New Roman" w:hAnsi="Times New Roman"/>
          <w:color w:val="000000"/>
          <w:sz w:val="20"/>
        </w:rPr>
        <w:t xml:space="preserve">. During Phase 1 studies, researchers test a new drug in healthy volunteers. In most cases, 20 to 80 healthy volunteers participate in Phase 1. Phase 1 studies are closely monitored and gather information about how a drug interacts with the human body. Researchers adjust dosing schemes based on animal data to find out how much of a drug the body can tolerate and what its acute side effects are. As a Phase 1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 </w:t>
      </w:r>
    </w:p>
    <w:p>
      <w:pPr>
        <w:pStyle w:val="TextBody"/>
        <w:bidi w:val="0"/>
        <w:spacing w:before="240" w:after="283"/>
        <w:jc w:val="left"/>
        <w:rPr>
          <w:rFonts w:ascii="Times New Roman" w:hAnsi="Times New Roman"/>
          <w:sz w:val="20"/>
        </w:rPr>
      </w:pPr>
      <w:r>
        <w:rPr>
          <w:rFonts w:ascii="Times New Roman" w:hAnsi="Times New Roman"/>
          <w:i/>
          <w:color w:val="000000"/>
          <w:sz w:val="20"/>
        </w:rPr>
        <w:t>Phase 2 Studies</w:t>
      </w:r>
      <w:r>
        <w:rPr>
          <w:rFonts w:ascii="Times New Roman" w:hAnsi="Times New Roman"/>
          <w:color w:val="000000"/>
          <w:sz w:val="20"/>
        </w:rPr>
        <w:t xml:space="preserve">. In Phase 2 studies, researchers administer the drug to a group of people with the disease or condition for which the drug is being developed. Typically involving up to a few hundred patients, these studies are not large enough to show whether the drug will be beneficial. The use of new study designs, such as adaptive designs, can decrease the number of patients required. Instead, Phase 2 studies provide researchers with additional safety data. Researchers use these data to refine research questions, develop research methods, identify target doses, and design new Phase 3 research protocols. </w:t>
      </w:r>
    </w:p>
    <w:p>
      <w:pPr>
        <w:pStyle w:val="TextBody"/>
        <w:bidi w:val="0"/>
        <w:spacing w:before="240" w:after="283"/>
        <w:jc w:val="left"/>
        <w:rPr>
          <w:rFonts w:ascii="Times New Roman" w:hAnsi="Times New Roman"/>
          <w:sz w:val="20"/>
        </w:rPr>
      </w:pPr>
      <w:r>
        <w:rPr>
          <w:rFonts w:ascii="Times New Roman" w:hAnsi="Times New Roman"/>
          <w:i/>
          <w:color w:val="000000"/>
          <w:sz w:val="20"/>
        </w:rPr>
        <w:t>Phase 3 Studies</w:t>
      </w:r>
      <w:r>
        <w:rPr>
          <w:rFonts w:ascii="Times New Roman" w:hAnsi="Times New Roman"/>
          <w:color w:val="000000"/>
          <w:sz w:val="20"/>
        </w:rPr>
        <w:t xml:space="preserve">. Researchers design Phase 3 studies to demonstrate whether or not a product offers a treatment benefit to a specific population. Sometimes known as pivotal studies, these studies generally involve a larger number of participants than do Phase 2 studies. Phase 3 studies provide most of the safety data. In Phase 3 studies, it is possible that less common side effects might have gone undetected. Because these studies are larger and longer in duration, the results are more likely to show long-term or rare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each clinical trial, an institutional review board (IRB) or independent ethics committee (IEC), covering each site proposing to conduct a clinical trial must review and approve the plan for any clinical trial and written informed consent or assent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an investigational drug to human subjects under the supervision of qualified investigators in accordance with good clinical practices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 </w:t>
      </w:r>
    </w:p>
    <w:p>
      <w:pPr>
        <w:pStyle w:val="TextBody"/>
        <w:bidi w:val="0"/>
        <w:spacing w:before="240" w:after="283"/>
        <w:jc w:val="left"/>
        <w:rPr>
          <w:rFonts w:ascii="Times New Roman" w:hAnsi="Times New Roman"/>
          <w:sz w:val="20"/>
        </w:rPr>
      </w:pPr>
      <w:r>
        <w:rPr>
          <w:rFonts w:ascii="Times New Roman" w:hAnsi="Times New Roman"/>
          <w:b/>
          <w:i/>
          <w:color w:val="000000"/>
          <w:sz w:val="20"/>
        </w:rPr>
        <w:t>FDA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obtaining FDA approval for our drug, the manufacturing facilities of the companies who manufacture our drugs for us must also be approved. These facilities are subject to periodic inspections by the FDA. The FDA must also approve foreign establishments that manufacture products to be sold in the U.S. and these facilities are subject to periodic regulatory inspection.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Drugs that are developed for rare diseases (i.e., in the U.S., the disease or condition has a prevalence of less than 200,000 persons; in the E.U., the prevalence of the condition must be not more than 5 in 10,000) can be designated as “Orphan Drugs”. In the U.S., orphan-designated drugs are granted up to 7-year market exclusivity. In response to the court decision in </w:t>
      </w:r>
      <w:r>
        <w:rPr>
          <w:rFonts w:ascii="Times New Roman" w:hAnsi="Times New Roman"/>
          <w:i/>
          <w:color w:val="000000"/>
          <w:sz w:val="20"/>
        </w:rPr>
        <w:t>Catalyst Pharms., Inc. v. Becerra</w:t>
      </w:r>
      <w:r>
        <w:rPr>
          <w:rFonts w:ascii="Times New Roman" w:hAnsi="Times New Roman"/>
          <w:color w:val="000000"/>
          <w:sz w:val="20"/>
        </w:rPr>
        <w:t xml:space="preserve">, 14 F.4th 1299 (11th Cir. 2021), in January 2023, the FDA published a notice in the Federal Register to clarify that while the agency complies with the court’s order in </w:t>
      </w:r>
      <w:r>
        <w:rPr>
          <w:rFonts w:ascii="Times New Roman" w:hAnsi="Times New Roman"/>
          <w:i/>
          <w:color w:val="000000"/>
          <w:sz w:val="20"/>
        </w:rPr>
        <w:t>Catalyst</w:t>
      </w:r>
      <w:r>
        <w:rPr>
          <w:rFonts w:ascii="Times New Roman" w:hAnsi="Times New Roman"/>
          <w:color w:val="000000"/>
          <w:sz w:val="20"/>
        </w:rPr>
        <w:t xml:space="preserve">, the FDA intends to continue to apply its longstanding interpretation of the regulations to matters outside of the scope of the </w:t>
      </w:r>
      <w:r>
        <w:rPr>
          <w:rFonts w:ascii="Times New Roman" w:hAnsi="Times New Roman"/>
          <w:i/>
          <w:color w:val="000000"/>
          <w:sz w:val="20"/>
        </w:rPr>
        <w:t>Catalyst</w:t>
      </w:r>
      <w:r>
        <w:rPr>
          <w:rFonts w:ascii="Times New Roman" w:hAnsi="Times New Roman"/>
          <w:color w:val="000000"/>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pStyle w:val="TextBody"/>
        <w:bidi w:val="0"/>
        <w:spacing w:before="240" w:after="283"/>
        <w:jc w:val="left"/>
        <w:rPr>
          <w:rFonts w:ascii="Times New Roman" w:hAnsi="Times New Roman"/>
          <w:sz w:val="20"/>
        </w:rPr>
      </w:pPr>
      <w:r>
        <w:rPr>
          <w:rFonts w:ascii="Times New Roman" w:hAnsi="Times New Roman"/>
          <w:b/>
          <w:i/>
          <w:color w:val="000000"/>
          <w:sz w:val="20"/>
        </w:rPr>
        <w:t>Ongoing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drug manufacturers and other entities involved in the manufacture and distribution of approved drugs are subject to periodic unannounced inspections by the FDA and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drug and device products that are placed on the market. The Federal Trade Commission (FTC) also regulates the promotion and advertising of consumer products.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Drugs are also subject to extensive regulation outside of the U.S. In the E.U., there is a centralized approval procedure that authorizes marketing of a product in all countries of the E.U. through a single application and review process.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European regulatory authorities. </w:t>
      </w:r>
    </w:p>
    <w:p>
      <w:pPr>
        <w:pStyle w:val="TextBody"/>
        <w:bidi w:val="0"/>
        <w:spacing w:before="360" w:after="283"/>
        <w:jc w:val="left"/>
        <w:rPr>
          <w:rFonts w:ascii="Times New Roman" w:hAnsi="Times New Roman"/>
          <w:sz w:val="20"/>
        </w:rPr>
      </w:pPr>
      <w:r>
        <w:rPr>
          <w:rFonts w:ascii="Times New Roman" w:hAnsi="Times New Roman"/>
          <w:b/>
          <w:color w:val="000000"/>
          <w:sz w:val="20"/>
        </w:rPr>
        <w:t>Additional Government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HIPAA and Other Privacy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Federal and State Billing and Fraud and Abuse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Antifraud Laws/Overpayments</w:t>
      </w:r>
      <w:r>
        <w:rPr>
          <w:rFonts w:ascii="Times New Roman" w:hAnsi="Times New Roman"/>
          <w:color w:val="000000"/>
          <w:sz w:val="20"/>
        </w:rPr>
        <w:t xml:space="preserve">. As participants in federal and state healthcare programs, we are subject to numerous federal and state antifraud and abuse laws. Many of these antifraud laws are broad in scope, and neither the courts nor government agencies have extensively interpreted these laws. Prohibitions under some of these laws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submission, or causing the submission of, false claims or false information to government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deceptive or fraudulent conduct;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performing medically unnecessary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prohibitions in defrauding private sector health insurers.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$13,508 to $27,018 per false claim, adjusted each year for inflation,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and Medicaid.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 </w:t>
      </w:r>
    </w:p>
    <w:p>
      <w:pPr>
        <w:pStyle w:val="TextBody"/>
        <w:bidi w:val="0"/>
        <w:spacing w:before="240" w:after="283"/>
        <w:jc w:val="left"/>
        <w:rPr>
          <w:rFonts w:ascii="Times New Roman" w:hAnsi="Times New Roman"/>
          <w:sz w:val="20"/>
        </w:rPr>
      </w:pPr>
      <w:r>
        <w:rPr>
          <w:rFonts w:ascii="Times New Roman" w:hAnsi="Times New Roman"/>
          <w:b/>
          <w:i/>
          <w:color w:val="000000"/>
          <w:sz w:val="20"/>
        </w:rPr>
        <w:t>Federal and State “Self-Referral” and “Anti-Kickback”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Self-Referral law</w:t>
      </w:r>
      <w:r>
        <w:rPr>
          <w:rFonts w:ascii="Times New Roman" w:hAnsi="Times New Roman"/>
          <w:color w:val="000000"/>
          <w:sz w:val="20"/>
        </w:rPr>
        <w:t xml:space="preserve">. We are subject to a federal “self-referral” law, commonly referred to as the “Stark” law, which provides that physicians who, 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$13,508 to $27,018 for each separate false claim. Similarly, sanctions for violations under the North Carolina self-referral laws include refunds and monetary penalties. </w:t>
      </w:r>
    </w:p>
    <w:p>
      <w:pPr>
        <w:pStyle w:val="TextBody"/>
        <w:bidi w:val="0"/>
        <w:spacing w:before="24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xml:space="preserv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Patient Protection and Affordable Care Act of 2010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 of our business. Moreover, achieving and sustaining compliance with applicable federal and state privacy, security and fraud laws may prove costly. </w:t>
      </w:r>
    </w:p>
    <w:p>
      <w:pPr>
        <w:pStyle w:val="TextBody"/>
        <w:bidi w:val="0"/>
        <w:spacing w:before="240" w:after="283"/>
        <w:jc w:val="left"/>
        <w:rPr>
          <w:rFonts w:ascii="Times New Roman" w:hAnsi="Times New Roman"/>
          <w:sz w:val="20"/>
        </w:rPr>
      </w:pPr>
      <w:r>
        <w:rPr>
          <w:rFonts w:ascii="Times New Roman" w:hAnsi="Times New Roman"/>
          <w:b/>
          <w:i/>
          <w:color w:val="000000"/>
          <w:sz w:val="20"/>
        </w:rPr>
        <w:t>The Foreign Corrupt Practices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Other Corporate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Underwritten Public Offerings and Concurrent 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31, 2022, we sold 2,666,666 shares of our common stock at a public offering price of $3.75 per share and, for certain investors, in lieu of common stock, pre-funded warrants to purchase 1,333,333 shares of our common stock at a public offering price of $3.60 per pre-funded warrant, which represents the per share public offering price for the common stock less the $0.15 per share exercise price for each pre-funded warrant. Each share of common stock or pre-funded warrant was sold together with one, immediately exercisable, common warrant with a five-year term to purchase one share of common stock at an exercise price of $4.50 per share. The net proceeds of the offering were $13.8 million, after deducting the underwriting discount and other offering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of approximately $60.0 million of shares of our common stock and pre-funded warrants in a concurrent private offering pursuant to a securities purchase agreement with certain investors, including entities affiliated with existing stockholders, at a price per share of common stock equal to the public offering price of $20.00 and a price per per-funded warrant of $19.99. In aggregate, we received $129.0 million of gross proceeds from the underwritten public offering and concurrent private placement.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we entered into a securities purchase agreement providing for the sale of up to $60.0 million in warrants (divided into two tranches, Tranche A and Tranche B) and the common stock issuable upon the exercise thereof. We issued both tranches of warrants in exchange for an aggregate purchase price of $10.0 million in May 2023. The announcement of positive top-line data from the randomized withdrawal period of Study C602 in September 2023 triggered the mandatory exercise of the Tranche A warrants, and we received $15.0 million in gross proceeds. Between October 2023 and the end of 2023, several investors exercised their Tranche B warrants and we received $18.1 million in gross proceeds. The remaining Tranche B warrants may be exercised for an additional $16.9 million in proceeds to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 the 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2022, we sold 104,773 shares of common stock and raised $0.3 million in net proceeds, and in 2023, we sold 1,772,397 shares of common stock and raised $7.1 million in net proceeds pursuant to a Controlled Equity Offering Sales Agreement under which we could sell shares of our common stock having an aggregate offering price of up to $25.0 million from time to time in any method permit by law deemed to be an “at the market” Rule 415 under the Securities Act of 1933, as amended. The Controlled Equity Offering Sales Agreement was terminated in connection with the October 2, 2023 financing.</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2022, the stockholders of the Company approved a reverse stock split of our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33 full-time employees and 9 full-time or part-time consultants providing services to us. None of our employees is represented by a labor union or covered by collective bargaining agreements. We consider our relationship with our employees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and 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corporate offices are located at 203 Redwood Shores Parkway, Suite 500, Redwood City, California 94065 and our telephone number is (650) 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Risk Factor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subject to numerous risks and uncertainties that you should consider before investing in our company, as fully described below. The principal factors and uncertainties that make investing in our company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company with no approved products, which makes assessment of our future viability difficult;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upon the success of DCCR, our sole therapeutic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obtain regulatory approval for DCCR in the U.S. and Europe, our business will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commercializing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rights may prove to be an inadequate barrier to competition;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5" w:name="supptoc850797_4"/>
      <w:bookmarkEnd w:id="5"/>
      <w:r>
        <w:rPr>
          <w:rFonts w:ascii="Times New Roman" w:hAnsi="Times New Roman"/>
          <w:b/>
          <w:i/>
          <w:color w:val="000000"/>
          <w:sz w:val="20"/>
        </w:rPr>
        <w:t>We are a clinical-stage company with no approved products, which makes assessment of our future viability difficult.</w:t>
      </w:r>
      <w:r>
        <w:rPr>
          <w:rFonts w:ascii="Times New Roman" w:hAnsi="Times New Roman"/>
          <w:color w:val="000000"/>
          <w:sz w:val="20"/>
        </w:rPr>
        <w:t xml:space="preserve">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 xml:space="preserve">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 </w:t>
      </w:r>
    </w:p>
    <w:p>
      <w:pPr>
        <w:pStyle w:val="TextBody"/>
        <w:bidi w:val="0"/>
        <w:spacing w:before="180" w:after="283"/>
        <w:jc w:val="left"/>
        <w:rPr>
          <w:rFonts w:ascii="Times New Roman" w:hAnsi="Times New Roman"/>
          <w:sz w:val="20"/>
        </w:rPr>
      </w:pPr>
      <w:r>
        <w:rPr>
          <w:rFonts w:ascii="Times New Roman" w:hAnsi="Times New Roman"/>
          <w:b/>
          <w:i/>
          <w:color w:val="000000"/>
          <w:sz w:val="20"/>
        </w:rPr>
        <w:t>We are dependent upon the success of DCCR, our sole therapeutic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nonclinical and clinical development of DCCR or any future product candidates, as well as the associated costs, including any unforeseen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any required post-marketing approval commitments to applicable regulatory authorities and then fulfilling those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 sufficiently broad label that would not unduly restrict patient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marketing approvals for DCCR in the U.S. and Europe;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building an infrastructure capable of supporting product sales, marketing, and distribution of DCCR in territories where we pursue commercialization 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manufacturing arrangements with third 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commercial distribution agreements with third party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DCCR,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DCCR, if and when approved,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pathway that we pursue for DCCR in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of DCCR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 commercially viable price for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commercialize DCCR, which would materially harm our business. We have been in discussions with the FDA regarding the clinical data necessary to support the submission of a new drug application (NDA) seeking approval to market DCCR for the treatment of PWS, after our Phase 3 clinical trial, DESTINY PWS (C601) trial failed to demonstrate statistical significance on the primary efficacy endpoints following which the FDA asked us to conduct a new clinical trial. As part of the ongoing discussions with the FDA, we have provided the agency with data from the C601 clinical trial, the open-label extension study (C602) as well as comparison to the natural history study (PATH for PWS) to allow the FDA to further assess if those data may provide adequate evidence of safety and efficacy to permit us to submit an NDA for DCCR. As we previously disclosed, the FDA indicated that additional controlled data would be necessary to support our planned NDA and we have completed a randomized withdrawal period to Study C602 to obtain additional controlled data.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matter of review following the submission of an NDA. The FDA's concerns regarding our data include the C601 study not meeting its primary efficacy endpoint and the randomized withdrawal period of the C602 study including the same study population as the C601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disagrees with our interpretation of the data, or requires us to conduct additional studies, or if we are unable to adequately address any concerns or requests in a manner satisfactory to the FDA or other regulatory authorities in a timely manner, or at all, we would be significantly delayed or prevented from receiving approval of DCCR for any intended use. Complying with any additional requests for information from the FDA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as well as any changes in the regulatory requirements will be time-consuming and expensive. We can provide no assurances regarding the FDA’s review of any NDA we submit, whether the FDA will accept the NDA for substantive review, or if the FDA will ultimately approve such NDA. </w:t>
      </w:r>
    </w:p>
    <w:p>
      <w:pPr>
        <w:pStyle w:val="TextBody"/>
        <w:bidi w:val="0"/>
        <w:spacing w:before="180" w:after="283"/>
        <w:jc w:val="left"/>
        <w:rPr>
          <w:rFonts w:ascii="Times New Roman" w:hAnsi="Times New Roman"/>
          <w:sz w:val="20"/>
        </w:rPr>
      </w:pPr>
      <w:r>
        <w:rPr>
          <w:rFonts w:ascii="Times New Roman" w:hAnsi="Times New Roman"/>
          <w:b/>
          <w:i/>
          <w:color w:val="000000"/>
          <w:sz w:val="20"/>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commenced commercialization of DCCR, our current sole novel therapeutic product, and accordingly, through December 31, 2023, have generated no revenue from operations. We had a net loss of $39.0 million during the year ended December 31, 2023 and an accumulated deficit of $276.4 million at December 31, 2023 as a result of having incurred losses since our inception. We had $169.7 million in cash and cash equivalents and $159.9 million of working capital at December 31, 2023, used $24.9 million of cash in operating activities during the year ended December 31, 2023 and expect to continue incurring losses for the foreseeable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maintain our cash at financial institutions, often in balances that exceed federally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We maintain our operating account at Silicon Valley Bank (SVB), a Division of First Citizens Bank, and therefore those amounts held in excess of the FDIC insurance limit were at risk during the recent uncertainty about the viability of SVB. However, with the FDIC taking control of SVB on March 10, 2023, and the Federal Reserve announcing that account holders would be made whole this recent uncertainty has been resolved and we do not view the ongoing risk as material to our financial condition. However, as the FDIC continues to address the situation with SVB, Signature Bank and other similarly situated banking institutions,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of loss in excess of insurance limitations has generally increased.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commercialization history and have incurred significant losses since our inception, and we anticipate that we will continue to incur substantial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and will incur substantial commercial expenses related to our operations. Investment in product development is highly speculative, because it entails substantial upfront capital expenditures and significant risk that any planned product may not receive marketing approval from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We currently have generated limited product revenue and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significant revenues.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a commercial organization capable of sales, marketing and distribution of any products for which we obtain marketing approval in markets where we intend to commercialize independently;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our current and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a commercially viable price for our current and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maintain supply and manufacturing relationships with reliable third parties, and ensure adequate and legally compliant manufacturing to maintain that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coverage and adequate reimbursement from third-party payors, including government and private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find suitable distribution partners to help us market, sell and distribute our products in other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and submit applications to, and obtain regulatory approval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complete development activities successfully and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maintain and enforce our intellectual property rights and avoid third-party patent interference, intellectual property challenges or intellectual property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below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patients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timing and outcomes of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regulatory review or approval in the U.S. or globally, of any of our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risk of initiating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planned products, which will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products may vary depending on FDA and other regulatory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planned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landscape of our industry, including consolidation among our competitors or potential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our products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future products, if approved, and existing and potential future drugs that compete with our planned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offerings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inside and outside of the U.S.,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changing and volatile global economic environment.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engage in strategic transactions that could impact our liquidity, increase our expenses and present significant distractions to our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unknown and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of our business and diversion of our management’s time and attention in order to develop acquired products,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substantial debt or dilutive issuances of equity securities to pay for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than expected acquisition and integration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likelihood of payment of milestones or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write-downs of assets or goodwill or impairment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expenditures, including additional research, development and sales and marketing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amortization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and cost in combining the operations and personnel of any acquired businesses with our operations and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of relationships with key suppliers or customers of any acquired businesses due to changes in management and ownership.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enter into strategic transactions on a timely basis or on acceptable terms, which may impact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further develop our products or bring them to market and generate product revenue. Furthermore, there is no assurance that any such transaction will be successful or that we will derive an economic benefit as a result.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development and commercialization of our products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successful in commercializing our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Further, clinical trial disruptions or protocol deviations during the COVID-19 pandemic may introduce bias or other factors that can impact the reliability of our clinical data collected at the peak of the COVID-19 public health emergency.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Earlier conducted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(including potential Phase 3 trials) or generate other forms of confirmatory evidence, which could materially delay our anticipated development timelines, require additional funding for such additional clinical trials or confirmatory studies, and adversely impact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results of our current and future clinical trials are inconclusive with respect to the efficacy of our product candidates, including DCCR, if we do not meet the clinical endpoints with statistical and clinically meaningful significance, or if there are safety concerns associated with our product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delayed in or prevented from obtaining marketing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changes in the way the product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regulatory authorities withdraw their approval of the product or impose restrictions on its distribution in the form of a risk evaluation and mitigation strategy (REMS);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become subject to litigation;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become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regulatory authorities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execute our sales and marketing strategy for our products, and are unable to gain acceptance in the market,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believe that DCCR represents a promising commercial opportunity, DCCR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outcomes of clinical utility studies of such products in collaboration with key thought leaders to demonstrate our products’ value in informing important medical decisions such as treatment selection;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distribution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healthcare providers believe DCCR provides clinical utility;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health insurers, government health programs and other payers will cover and pay for DCCR and, if so, whether they will adequately reimburse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rely, on third parties who we do not control, to distribute and sell DCCR. If these distributors are not committed to DCCR or otherwise run into their own financial or other difficulties, it may result in failure to achieve widespread market acceptance of DCCR, and would materially harm our business, financial condition and results of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implement our sales, marketing, distribution, training and support strategies or enter into agreements with third parties to perform these functions, we will not be able to effectively commercialize DCCR and may not reach profitability.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sales and marketing infrastructure and have no experience in the sale, marketing or distribution of therapeutic products. To achieve commercial success for DCCR, if and when we obtain marketing approval, we will need to establish a robust sales and marketing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expect to build a targeted sales, marketing, training and support infrastructure to market DCCR in the U.S. and to establish collaborations to market, distribute and support DCCR outside of the U.S.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DCCR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or persuade adequate numbers of physicians to prescribe DCCR or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by our competitors to commercialize products at or about the time when our product candidates would be coming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 </w:t>
      </w:r>
    </w:p>
    <w:p>
      <w:pPr>
        <w:pStyle w:val="TextBody"/>
        <w:bidi w:val="0"/>
        <w:spacing w:before="180" w:after="283"/>
        <w:jc w:val="left"/>
        <w:rPr>
          <w:rFonts w:ascii="Times New Roman" w:hAnsi="Times New Roman"/>
          <w:sz w:val="20"/>
        </w:rPr>
      </w:pPr>
      <w:r>
        <w:rPr>
          <w:rFonts w:ascii="Times New Roman" w:hAnsi="Times New Roman"/>
          <w:b/>
          <w:i/>
          <w:color w:val="000000"/>
          <w:sz w:val="20"/>
        </w:rPr>
        <w:t>If physicians decide not to order our products in significant numbers, we may be unable to generate sufficient revenue to sustain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physicians, hospital administrators, patients, healthcare payors and others in the medical community that the clinical and economic utility of our products justifies payment for DCCR at adequate pricing levels. We need to hire additional commercial, scientific, technical and other personnel to support this process. </w:t>
      </w:r>
    </w:p>
    <w:p>
      <w:pPr>
        <w:pStyle w:val="TextBody"/>
        <w:bidi w:val="0"/>
        <w:spacing w:before="180" w:after="283"/>
        <w:jc w:val="left"/>
        <w:rPr>
          <w:rFonts w:ascii="Times New Roman" w:hAnsi="Times New Roman"/>
          <w:sz w:val="20"/>
        </w:rPr>
      </w:pPr>
      <w:r>
        <w:rPr>
          <w:rFonts w:ascii="Times New Roman" w:hAnsi="Times New Roman"/>
          <w:b/>
          <w:i/>
          <w:color w:val="000000"/>
          <w:sz w:val="20"/>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unforeseen events during, or as a result of, clinical studies could occur, which would delay or prevent our ability to receive regulatory approval or commercialize any of our planned products, including the following: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studies may produce negative or inconclusive results, and we may decide, or regulators may require us, to conduct additional clinical studies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studies or the manufacturing of our planned products may be greater than we anticipate; including due to inflationary pressures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not approve our proposed clinical development plans;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independent institutional review boards (IRBs), may not authorize us or our investigators to commence a clinical study or conduct a clinical study at a prospective study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IRBs may require that we or our investigators suspend or terminate clinical research for various reasons, including noncompliance with regulatory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planned products or other materials necessary to conduct clinical studies of our planned products may be insufficient or inadequate.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marketing approval for our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that are not as broad as intended;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restrictions on how the product is distributed or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fail to obtain regulatory approval for DCCR in the U.S. and Europe, our business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regulatory approval in a timely manner, our commercialization of DCCR would be delayed and our business would be harmed. </w:t>
      </w:r>
    </w:p>
    <w:p>
      <w:pPr>
        <w:pStyle w:val="TextBody"/>
        <w:bidi w:val="0"/>
        <w:spacing w:before="180" w:after="283"/>
        <w:jc w:val="left"/>
        <w:rPr>
          <w:rFonts w:ascii="Times New Roman" w:hAnsi="Times New Roman"/>
          <w:sz w:val="20"/>
        </w:rPr>
      </w:pPr>
      <w:r>
        <w:rPr>
          <w:rFonts w:ascii="Times New Roman" w:hAnsi="Times New Roman"/>
          <w:b/>
          <w:i/>
          <w:color w:val="000000"/>
          <w:sz w:val="20"/>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 sufficient nonclinical, toxicology, or other in vivo or in vitro data, or clinical safety data to support the initiation or continuation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regulatory approval, or feedback on trial design,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 recruit and train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reach agreement on acceptable terms with prospective contract research organizations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and maintain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recruit and enroll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 sufficient number of patients complete a trial and/or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ensure clinical investigators observe trial protocol or continue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any patient safety concerns that arise during the course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any conflicts or compliance with new or existing laws, rule, regulations or guidelines;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a sufficient number of clinical trial sites to conduct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manufacture sufficient quantities of product candidate suitable for use at the stage of clinical development;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raise sufficient capital to fund a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hold, unforeseen safety issues or adverse side effects, failure to demonstrate a benefit from using a product candidate, changes in governmental regulations or administrative actions or lack of adequate funding to continue the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satisfactorily demonstrate that the product candidates are safe and effective for the requested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disagreement with our trial protocol or the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assess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demonstrate that clinical or other benefits of our product candidates outweigh any safety or other perceived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determination that additional preclinical or clinical trials are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non-approval of the formulation, labeling or the specifications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FDA’s failure to accept the manufacturing processes or facilities of third-party manufacturers with which we contract;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approval policies or regulations of the FDA to significantly change in a manner rendering our clinical data insufficient for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any planned products receive regulatory approval, these products may fail to achieve the degree of market acceptance by physicians, patients, caregivers, healthcare payors and others in the medical community necessary for commercial success.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their effectiveness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we charge for our planned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change their current treatment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or effectiveness of marketing and distribution support or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third-party coverage or reimbursement.</w:t>
      </w:r>
    </w:p>
    <w:p>
      <w:pPr>
        <w:pStyle w:val="TextBody"/>
        <w:bidi w:val="0"/>
        <w:spacing w:before="180" w:after="283"/>
        <w:jc w:val="left"/>
        <w:rPr>
          <w:rFonts w:ascii="Times New Roman" w:hAnsi="Times New Roman"/>
          <w:sz w:val="20"/>
        </w:rPr>
      </w:pPr>
      <w:r>
        <w:rPr>
          <w:rFonts w:ascii="Times New Roman" w:hAnsi="Times New Roman"/>
          <w:b/>
          <w:i/>
          <w:color w:val="000000"/>
          <w:sz w:val="20"/>
        </w:rPr>
        <w:t>If the market opportunity for DCCR is smaller than we believe it is, then our revenues may be adversely affected, and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PWS is a rare disease, and as such, our projections of both the number of people who have this disease, as well as the subset of people with PWS who have the potential to benefit from treatment with our product candidate, are based on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 </w:t>
      </w:r>
    </w:p>
    <w:p>
      <w:pPr>
        <w:pStyle w:val="TextBody"/>
        <w:bidi w:val="0"/>
        <w:spacing w:before="180" w:after="283"/>
        <w:jc w:val="left"/>
        <w:rPr>
          <w:rFonts w:ascii="Times New Roman" w:hAnsi="Times New Roman"/>
          <w:sz w:val="20"/>
        </w:rPr>
      </w:pPr>
      <w:r>
        <w:rPr>
          <w:rFonts w:ascii="Times New Roman" w:hAnsi="Times New Roman"/>
          <w:b/>
          <w:i/>
          <w:color w:val="000000"/>
          <w:sz w:val="20"/>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attempt to form partnerships with respect to our products, but we may not be able to do so, which may cause us to alter our development and commercialization plans and may cause us to terminate any such programs.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strategic alliances, create joint ventures or collaborations, or enter into licensing agreements with third parties that we believe will more effectively provide resources to develop and commercialize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identifying suitable collaborators and entering into agreements to develop or commercialize our future products could negatively impact the development or commercialization of our future products, particularly in geographic regions like the Europe,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 </w:t>
      </w:r>
    </w:p>
    <w:p>
      <w:pPr>
        <w:pStyle w:val="TextBody"/>
        <w:bidi w:val="0"/>
        <w:spacing w:before="180" w:after="283"/>
        <w:jc w:val="left"/>
        <w:rPr>
          <w:rFonts w:ascii="Times New Roman" w:hAnsi="Times New Roman"/>
          <w:sz w:val="20"/>
        </w:rPr>
      </w:pPr>
      <w:r>
        <w:rPr>
          <w:rFonts w:ascii="Times New Roman" w:hAnsi="Times New Roman"/>
          <w:b/>
          <w:i/>
          <w:color w:val="000000"/>
          <w:sz w:val="20"/>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recall such product and suspend the marketing of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their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that could diminish the usage or otherwise limit the commercial success of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bodies may issue safety alerts, Dear Healthcare Provider letters, press releases or other communications containing warnings about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litigation or product liability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planned product, if approved. </w:t>
      </w:r>
    </w:p>
    <w:p>
      <w:pPr>
        <w:pStyle w:val="TextBody"/>
        <w:bidi w:val="0"/>
        <w:spacing w:before="180" w:after="283"/>
        <w:jc w:val="left"/>
        <w:rPr>
          <w:rFonts w:ascii="Times New Roman" w:hAnsi="Times New Roman"/>
          <w:sz w:val="20"/>
        </w:rPr>
      </w:pPr>
      <w:r>
        <w:rPr>
          <w:rFonts w:ascii="Times New Roman" w:hAnsi="Times New Roman"/>
          <w:b/>
          <w:i/>
          <w:color w:val="000000"/>
          <w:sz w:val="20"/>
        </w:rPr>
        <w:t>We face competition, which may result in others discovering, developing or commercializing products before we do,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recently been increased activity in the development of drugs to treat PWS. We are aware of eight other current or proposed clinical trials evaluating PWS therapies. </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are able to engage partners in commercializing our products, they may become subject to unfavorable pricing regulations, third-party reimbursement practices or healthcare reform initiatives, thereby harming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Europe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clinical trials or at the commercial stage after regulatory approval, and our product liability insurance may not cover all damages arising from such claims. Product liability lawsuits against us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sale and use of pharmaceutical products, including maintaining consistent quality, safety and efficacy profiles for our products and product candidates. The marketing, sale and use of our products could lead to the filing of product liability claims against us if someone alleges that our products or product candidates failed to perform as intended. We may also be subject to liability for a misunderstanding of, or inappropriate reliance upon, the information we provide. These claims might be made by patients that use the products or product candidates, healthcare providers, pharmaceutical companies, or others selling such products. Any claims against us, regardless of their merit, could be costly to defend and could materially adversely affect the market for our product candidates or any prospects for commercialization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and patients who should not use our product candidates. If any of our product candidates were to cause adverse side effects during clinical trials or after approval, we may be exposed to substantial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successfully defend ourselves against claims that our products caused injuries, we may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planned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patients from clinical studies or cancellation of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 and distraction to our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 </w:t>
      </w:r>
    </w:p>
    <w:p>
      <w:pPr>
        <w:pStyle w:val="TextBody"/>
        <w:bidi w:val="0"/>
        <w:spacing w:before="180" w:after="283"/>
        <w:jc w:val="left"/>
        <w:rPr>
          <w:rFonts w:ascii="Times New Roman" w:hAnsi="Times New Roman"/>
          <w:sz w:val="20"/>
        </w:rPr>
      </w:pPr>
      <w:r>
        <w:rPr>
          <w:rFonts w:ascii="Times New Roman" w:hAnsi="Times New Roman"/>
          <w:b/>
          <w:i/>
          <w:color w:val="000000"/>
          <w:sz w:val="20"/>
        </w:rPr>
        <w:t>The loss of key members of our executive management team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implementing our business strategy depends largely on the skills, experience and performance of key members of our executive management team and others in key management positions.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There is a scarcity of experienced professionals in our industry. If we are not able to retain and recruit personnel with the requisite technical skills, we may be unable to successfully execute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acquire other businesses or form joint ventures or make investments in other companies or technologies that could harm our operating results, dilute our stockholders’ ownership, increase our debt or cause us to incur significant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 </w:t>
      </w:r>
    </w:p>
    <w:p>
      <w:pPr>
        <w:pStyle w:val="TextBody"/>
        <w:bidi w:val="0"/>
        <w:spacing w:before="180" w:after="283"/>
        <w:jc w:val="left"/>
        <w:rPr>
          <w:rFonts w:ascii="Times New Roman" w:hAnsi="Times New Roman"/>
          <w:sz w:val="20"/>
        </w:rPr>
      </w:pPr>
      <w:r>
        <w:rPr>
          <w:rFonts w:ascii="Times New Roman" w:hAnsi="Times New Roman"/>
          <w:b/>
          <w:i/>
          <w:color w:val="000000"/>
          <w:sz w:val="20"/>
        </w:rPr>
        <w:t>International expansion of our business will expose us to business, regulatory, political, operational, financial and economic risks associated with doing business outside of the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contemplates international expansion, including partnering with distributors, and introducing our current products and other planned products outside the U.S. Doing business internationally involves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multiple, conflicting and changing laws and regulations such as tax laws, export and import restrictions, employment laws, regulatory requirements and other governmental approvals, permits and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by us or our distributors to obtain regulatory approvals for the sale or use of our current products and our planned future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government payer systems, multiple payer-reimbursement regimes or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logistics and regulations associated with shipping products, including infrastructure conditions and transportation delays;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on our ability to penetrate international markets if our distributors do not execute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enforcing contracts and collecting accounts receivable, and exposure to foreign currency exchange rate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or lack of them in certain jurisdictions, forcing more reliance on our trade secrets, if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political and economic instability, including wars, terrorism and political unrest, including the outbreak of hostilities in the Ukraine and the Middle East, outbreak of disease, boycotts, curtailment of trade and other business restrictions;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the Foreign Corrupt Practices Act, including its books and records provisions and its anti-bribery provisions, by maintaining accurate information and control over sales activities and distributors’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risks, if encountered, could significantly harm our future international expansion and operations and, consequently, have a material adverse effect on our financial condition, results of operations and cash flows.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operation of our business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Any future distribution or commercialization agreements we may enter into for our products may place the development of these products outside our control, may require us to relinquish important rights, or may otherwise be on terms unfavorable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enter into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products are subject to numerous risks,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any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studies, provide insufficient funding for a clinical study program, stop a clinical study, abandon a product, repeat or conduct new clinical studies or require a new engineering iteration of a product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products may not commit sufficient resources to their marketing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commercialize such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termination or disruption of collaborations could result in delays in the development of products, increases in our costs to develop the products or the termination of development of a product. </w:t>
      </w:r>
    </w:p>
    <w:p>
      <w:pPr>
        <w:pStyle w:val="TextBody"/>
        <w:bidi w:val="0"/>
        <w:spacing w:before="180" w:after="283"/>
        <w:jc w:val="left"/>
        <w:rPr>
          <w:rFonts w:ascii="Times New Roman" w:hAnsi="Times New Roman"/>
          <w:sz w:val="20"/>
        </w:rPr>
      </w:pPr>
      <w:r>
        <w:rPr>
          <w:rFonts w:ascii="Times New Roman" w:hAnsi="Times New Roman"/>
          <w:b/>
          <w:i/>
          <w:color w:val="000000"/>
          <w:sz w:val="20"/>
        </w:rPr>
        <w:t>We expect to expand our development, regulatory and sales and marketing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33 employees and 9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clinical trials effectively, which we anticipate being conducted at numerous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maintaining, motivating and integrating additional employees with the expertise and experience we will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while complying with our contractual obligations to licensors, licensees, contractors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additional relationships with various strategic partners, suppliers and other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managerial, development, operational and finance reporting systems and procedures;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accomplish any of these tasks could prevent us from successfully growing. Any inability to manage growth could delay the execution of our business plans or disrupt our operations. </w:t>
      </w:r>
    </w:p>
    <w:p>
      <w:pPr>
        <w:pStyle w:val="TextBody"/>
        <w:bidi w:val="0"/>
        <w:spacing w:before="180" w:after="283"/>
        <w:jc w:val="left"/>
        <w:rPr>
          <w:rFonts w:ascii="Times New Roman" w:hAnsi="Times New Roman"/>
          <w:sz w:val="20"/>
        </w:rPr>
      </w:pPr>
      <w:r>
        <w:rPr>
          <w:rFonts w:ascii="Times New Roman" w:hAnsi="Times New Roman"/>
          <w:b/>
          <w:i/>
          <w:color w:val="000000"/>
          <w:sz w:val="20"/>
        </w:rPr>
        <w:t>Because we intend to commercialize our products outside the U.S., we will be subject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variety of risks associated with international operations could materially adversely affect our business,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regulatory requirements for drug approvals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trade restrictions, export or import sanctions,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 including the outbreak of hostilities in the Ukraine, the Middle East, or natural disasters including earthquakes, typhoons, floods and fires.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 results of operations would be materially and adversely affected.</w:t>
      </w:r>
    </w:p>
    <w:p>
      <w:pPr>
        <w:pStyle w:val="TextBody"/>
        <w:bidi w:val="0"/>
        <w:spacing w:before="180" w:after="283"/>
        <w:jc w:val="left"/>
        <w:rPr>
          <w:rFonts w:ascii="Times New Roman" w:hAnsi="Times New Roman"/>
          <w:sz w:val="20"/>
        </w:rPr>
      </w:pPr>
      <w:r>
        <w:rPr>
          <w:rFonts w:ascii="Times New Roman" w:hAnsi="Times New Roman"/>
          <w:b/>
          <w:i/>
          <w:color w:val="000000"/>
          <w:sz w:val="20"/>
        </w:rPr>
        <w:t>We rely on third parties to conduct certain components of our clinical studies, and those third parties may not perform satisfactorily, including failing to meet deadlines for the completion of such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use biological and hazardous materials in a manner that causes injury, we could be liable for damages.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avoiding infringement and other violations of the patents and proprietary rights of third parties. Patent and other intellectual property litigation is prevalent in our sectors.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 Patent and Trademark Office (USPTO), as well as oppositions and similar processes in foreign jurisdictions.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As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biotechnology and pharmaceutical industries expand and more patents are issued, and as we gain greater visibility and market exposure, the risk increases that our commercialization of DCCR or other business activities may be subject to claims of infringement of the patent and other proprietary rights of third parties. Third parties may assert that we are infringing their patents or employing their proprietary technology without authorization. We may become party to, or be threatened with, future adversarial proceedings or litigation regarding intellectual property rights with respect to our products.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intellectual property licensed to us and could require us to pay significant royalties and other fees.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there may be third-party patents or patent applications with claims to materials, formulations, methods of manufacture or methods for treatment related to the use or manufacture of DCCR. Because patent applications can take many years to issue, there may be currently pending patent applications which may later result in issued patents that our product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third parties may obtain patent rights in the future and claim that use of our products infringes upon these rights. If any third-party patents were held by a court of competent jurisdiction to cover the manufacturing process of DCCR, any molecules formed during the manufacturing process or any final product itself, the holders of any such patents may be able to block our ability to commercialize DCCR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our product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forced, including by court order, to cease commercializing the infringing product. In addition, we could be found liable for monetary damages. A finding of infringement could prevent us from commercializing our planned products or force us to cease some of our business operations, which could materially harm our business.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which may be impossible or require substantial time and monetary expenditure. We cannot predict whether any such license would be available at all or whether it would be available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successfully commercialize our products may be materially adversely affected if we are unable to obtain and maintain effective intellectual property rights for our planned products, or if the scope of the intellectual property protection is not sufficiently broad.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and other intellectual property protection in the U.S. and in other countries with respect to our proprietary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products or which effectively prevent others from commercializing competitive products. The laws of foreign countries may not protect our rights to the same extent as the laws of the U.S. For example, many countries restrict the patentability of methods of treatment of the human body.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which protect products, in whole or in part, or which effectively prevent others from commercializing competitive products. Changes in either the patent laws or interpretation of the patent laws in the U.S. and other countries may diminish the value of the patents we rely on or narrow the scope of our patent protection.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Moreover, we may be subject to a third-party pre-issuance submission of prior art to the USPTO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DCCR.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DCCR, we may be open to competition from generic versions of DCCR.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validity, enforceability, and commercial value of trademark rights are also uncertain. Pending and future trademark applications may not be successful.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become involved in legal proceedings to protect or enforce our intellectual property rights, which could be expensive, time-consuming, or unsuccessful.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or defense proceedings could put one or more patents at risk of being invalidated or interpreted narrowly and could put our patent applications at risk of not issuing. In patent litigation in the U.S., defendant counterclaims alleging invalidity or unenforceability are commonplace. Grounds for a validity challenge could be an alleged failure to meet any of several statutory requirements, including lack of novelty, obviousness, non-enablement, written description, or lack of patentable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ex parte</w:t>
      </w:r>
      <w:r>
        <w:rPr>
          <w:rFonts w:ascii="Times New Roman" w:hAnsi="Times New Roman"/>
          <w:color w:val="000000"/>
          <w:sz w:val="20"/>
        </w:rPr>
        <w:t xml:space="preserve"> reexaminations, </w:t>
      </w:r>
      <w:r>
        <w:rPr>
          <w:rFonts w:ascii="Times New Roman" w:hAnsi="Times New Roman"/>
          <w:i/>
          <w:color w:val="000000"/>
          <w:sz w:val="20"/>
        </w:rPr>
        <w:t>inter partes</w:t>
      </w:r>
      <w:r>
        <w:rPr>
          <w:rFonts w:ascii="Times New Roman" w:hAnsi="Times New Roman"/>
          <w:color w:val="000000"/>
          <w:sz w:val="20"/>
        </w:rPr>
        <w:t xml:space="preserve">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vaccine candidates. Such a loss of patent protection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prevent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the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If we are unable to protect the confidentiality of our trade secrets, the value of our technology could be materially adversely affected, harming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not be able to protect or enforce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pStyle w:val="TextBody"/>
        <w:bidi w:val="0"/>
        <w:spacing w:before="18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similar to our current and planned products, but that are not covered by claims in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filers of our patents that we developed or purchased might not have been the first to make the inventions covered by the claims contained in such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covering an invention;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may not lead to issued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may not provide us with any competitive advantages, or may be held invalid or unenforceable,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or in-license additional proprietary technologies that are patentable;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significantly harm our business, results of operations and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products.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ability to opt out of the jurisdiction of the UPC and remain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80" w:after="283"/>
        <w:jc w:val="left"/>
        <w:rPr>
          <w:rFonts w:ascii="Times New Roman" w:hAnsi="Times New Roman"/>
          <w:sz w:val="20"/>
        </w:rPr>
      </w:pPr>
      <w:r>
        <w:rPr>
          <w:rFonts w:ascii="Times New Roman" w:hAnsi="Times New Roman"/>
          <w:b/>
          <w:i/>
          <w:color w:val="000000"/>
          <w:sz w:val="20"/>
        </w:rPr>
        <w:t>If we do not obtain a patent term extension in the U.S. under the Hatch-Waxman Act and in foreign countries under similar legislation, thereby potentially extending the term of our marketing exclusivity for our planned products, our business may be materially harmed.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 </w:t>
      </w:r>
    </w:p>
    <w:p>
      <w:pPr>
        <w:pStyle w:val="TextBody"/>
        <w:bidi w:val="0"/>
        <w:spacing w:before="180" w:after="283"/>
        <w:jc w:val="left"/>
        <w:rPr>
          <w:rFonts w:ascii="Times New Roman" w:hAnsi="Times New Roman"/>
          <w:sz w:val="20"/>
        </w:rPr>
      </w:pPr>
      <w:r>
        <w:rPr>
          <w:rFonts w:ascii="Times New Roman" w:hAnsi="Times New Roman"/>
          <w:b/>
          <w:i/>
          <w:color w:val="000000"/>
          <w:sz w:val="20"/>
        </w:rPr>
        <w:t>We may be subject to claims that our employees, consultants or independent contractors have wrongfully used or disclosed confidential information of their former employers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employ individuals who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Additionally, while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These and other claims that we have misappropriated the confidential information or trade secrets of third parties can have a similar negative impact on our business to the infringement claims discussed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The regulatory approval process is expensive, time consuming and uncertain, and we may not be successful in obtaining approvals for our planned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civil or criminal penalties and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of any ongoing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accept or approve applications for marketing approval of new drugs or biologics or supplements to approved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seizure or detention of our products or import bans.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receiving approval to commercialize any of our planned products in the U.S. or abroad, we will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planned product may not be deemed safe or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officials may not find the data from preclinical studies and clinical studies sufficient;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might not approve our or our third-party manufacturer’s processes or facilities;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change its approval policies or adopt new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planned products fail to demonstrate safety and effectiveness in clinical studies or do not gain regulatory approval, our business and results of operations will be materially and adversely harmed.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Applications for our product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reject some or all of our data from clinical studies due to concerns related to bias, unblinding before statistical analysis plan is finalized, and/or reliability of data when the analysis is considered exploratory and not planned prospectively;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not accept data pooled from different studies, especially if the studies features are not sufficiently similar;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finds that our data are not adequate to support the safety and efficacy of our product candidate for the proposed indication;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may disagree with our statistical analysis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disagree with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clinical trials may not meet the statutory standard for substantial evidence of effectiveness or may fail to demonstrate statistical significance on the primary endpoint;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demonstrate to the FDA or other comparable foreign regulatory authorities that our product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policies or regulations of the FDA or other comparable foreign regulatory authorities may significantly change in a manner rendering our clinical data insufficient for approval or resulting in delays in our regulatory approval.</w:t>
      </w:r>
    </w:p>
    <w:p>
      <w:pPr>
        <w:pStyle w:val="TextBody"/>
        <w:bidi w:val="0"/>
        <w:spacing w:before="180" w:after="283"/>
        <w:jc w:val="left"/>
        <w:rPr>
          <w:rFonts w:ascii="Times New Roman" w:hAnsi="Times New Roman"/>
          <w:sz w:val="20"/>
        </w:rPr>
      </w:pPr>
      <w:r>
        <w:rPr>
          <w:rFonts w:ascii="Times New Roman" w:hAnsi="Times New Roman"/>
          <w:color w:val="000000"/>
          <w:sz w:val="20"/>
        </w:rPr>
        <w:t>As noted above, we have received preliminary comments from the FDA for our pre-NDA meeting, and as we decided not to proceed with the meeting, they are considered the official record of the meeting</w:t>
      </w:r>
      <w:r>
        <w:rPr>
          <w:rFonts w:ascii="Times New Roman" w:hAnsi="Times New Roman"/>
          <w:color w:val="C00000"/>
          <w:sz w:val="20"/>
        </w:rPr>
        <w:t>.</w:t>
      </w:r>
      <w:r>
        <w:rPr>
          <w:rFonts w:ascii="Times New Roman" w:hAnsi="Times New Roman"/>
          <w:color w:val="000000"/>
          <w:sz w:val="20"/>
        </w:rPr>
        <w:t xml:space="preserve"> While the FDA has raised concerns regarding our clinical data, we believe the data has the potential to support an NDA for DCCR, which we plan to submit in mid-2024. If the FDA disagrees with our interpretation of the data, or if we are required to conduct additional studies or clinical trials, our regulatory approval will be significantly delayed. This lengthy approval process, as well as the unpredictability of the results of clinical trials, may result in our failing to obtain regulatory approval to market DCCR, which would significantly harm our business,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we obtain approval of DCCR, regulatory authorities may approve DCCR for fewer or more limited indications than we initially request, or may impose significant limitations in the form of narrow indications, warnings, contraindications, or a risk evaluation and mitigation strategy (REMS). Regulatory authorities may not approve the price we intend to charge for DCCR, may grant approval contingent on the performance of costly post-marketing clinical trials or other post-marketing studies, or may approve DCCR with a label that does not include the labeling claims necessary or desirable for the successful commercialization of DCCR. Any of the foregoing scenarios could seriously harm our business.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received fast track designation for DCCR for the treatment of PWS, and we may seek fast track designation for other product candidates in the future. Even if received, fast track designation may not actually lead to a faster review process or faster marketing approval.</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benefit from the FDA’s fast track and priority review processes, and we previously received fast track designation for DCCR for the treatment of PWS. Under this program, the FDA may initiate a rolling review of sections of a fast track-designated drug’s NDA before the application is complete, although the FDA’s performance goal for reviewing an application does not begin until the last section of the NDA is submitted. In addition, under the FDA’s policies, a product candidate is eligible for priority review if it provides a significant improvement compared to marketed drugs in the treatment, diagnosis or prevention of a disease. A fast track-designated drug candidate would ordinarily meet the FDA’s criteria for priority review. </w:t>
      </w:r>
    </w:p>
    <w:p>
      <w:pPr>
        <w:pStyle w:val="TextBody"/>
        <w:bidi w:val="0"/>
        <w:jc w:val="left"/>
        <w:rPr>
          <w:rFonts w:ascii="Times New Roman" w:hAnsi="Times New Roman"/>
          <w:color w:val="000000"/>
          <w:sz w:val="20"/>
        </w:rPr>
      </w:pPr>
      <w:r>
        <w:rPr>
          <w:rFonts w:ascii="Times New Roman" w:hAnsi="Times New Roman"/>
          <w:color w:val="000000"/>
          <w:sz w:val="20"/>
        </w:rPr>
        <w:t>The fast track designation for DCCR, or for other future product candidates that we may develop, may not actually lead to a faster review process. Any delays in the review process or in the approval of DCCR or our future potential products will delay revenue from their potential sales and will have a material adverse impact on our business. Moreover, a fast track designation may be withdrawn by the FDA if the agency believes that the designation is no longer supported by data emerging in the clinical trial process.</w:t>
      </w:r>
    </w:p>
    <w:p>
      <w:pPr>
        <w:pStyle w:val="TextBody"/>
        <w:bidi w:val="0"/>
        <w:spacing w:before="180" w:after="283"/>
        <w:jc w:val="left"/>
        <w:rPr>
          <w:rFonts w:ascii="Times New Roman" w:hAnsi="Times New Roman"/>
          <w:sz w:val="20"/>
        </w:rPr>
      </w:pPr>
      <w:r>
        <w:rPr>
          <w:rFonts w:ascii="Times New Roman" w:hAnsi="Times New Roman"/>
          <w:b/>
          <w:i/>
          <w:color w:val="000000"/>
          <w:sz w:val="20"/>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extensive and ongoing regulatory requirements by the FDA and other regulatory authorities with regard to the labeling, packaging, adverse event reporting, storage, advertising, promotion and recordkeeping for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cGMP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inspections before authorization, applications for changes to marketing authorizations, and annual fees, access to the centralized authorization procedure, and 10 years of market exclusivity.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 </w:t>
      </w:r>
    </w:p>
    <w:p>
      <w:pPr>
        <w:pStyle w:val="TextBody"/>
        <w:bidi w:val="0"/>
        <w:spacing w:before="180" w:after="283"/>
        <w:jc w:val="left"/>
        <w:rPr>
          <w:rFonts w:ascii="Times New Roman" w:hAnsi="Times New Roman"/>
          <w:sz w:val="20"/>
        </w:rPr>
      </w:pPr>
      <w:r>
        <w:rPr>
          <w:rFonts w:ascii="Times New Roman" w:hAnsi="Times New Roman"/>
          <w:b/>
          <w:i/>
          <w:color w:val="000000"/>
          <w:sz w:val="20"/>
        </w:rPr>
        <w:t>Failure to obtain marketing approvals in foreign jurisdictions will prevent us from marketing our products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seek distribution and marketing partners for our current products outside the U.S. and may market planned products in international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 </w:t>
      </w:r>
    </w:p>
    <w:p>
      <w:pPr>
        <w:pStyle w:val="TextBody"/>
        <w:bidi w:val="0"/>
        <w:spacing w:before="180" w:after="283"/>
        <w:jc w:val="left"/>
        <w:rPr>
          <w:rFonts w:ascii="Times New Roman" w:hAnsi="Times New Roman"/>
          <w:sz w:val="20"/>
        </w:rPr>
      </w:pPr>
      <w:r>
        <w:rPr>
          <w:rFonts w:ascii="Times New Roman" w:hAnsi="Times New Roman"/>
          <w:b/>
          <w:i/>
          <w:color w:val="000000"/>
          <w:sz w:val="20"/>
        </w:rPr>
        <w:t>Healthcare reform measures could hinder or prevent our planned products’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could result in the imposition of injunctions;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requires collection of rebates for drugs paid by Medicaid managed care organizations;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PPACA. In June 2021, the U.S. Supreme Court dismissed the most recent judicial challenge to the PPACA without specifically ruling on the constitutionality of the ACA. Thus, the ACA remains in force in its current form.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PPACA was enacted. For example, the Budget Control Act of 2011, among other things, created the Joint Select Committee on Deficit Reduction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August 2022, Congress passed the Inflation Reduction Act of 2022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Further, the FDA recently authorized the State of Florida to import certain prescription drugs from Canada for a period of two years to help reduce drug costs, provided that Florida’s Agency for Health Care Administration meets the requirements set forth by the FDA. Other states may follow Florida. The implementation of cost containment measures or other healthcare reforms may prevent us from being able to generate revenue, attain profitability or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if the U.S. Supreme Court reverses or curtails the </w:t>
      </w:r>
      <w:r>
        <w:rPr>
          <w:rFonts w:ascii="Times New Roman" w:hAnsi="Times New Roman"/>
          <w:i/>
          <w:color w:val="000000"/>
          <w:sz w:val="20"/>
        </w:rPr>
        <w:t xml:space="preserve">Chevron </w:t>
      </w:r>
      <w:r>
        <w:rPr>
          <w:rFonts w:ascii="Times New Roman" w:hAnsi="Times New Roman"/>
          <w:color w:val="000000"/>
          <w:sz w:val="20"/>
        </w:rPr>
        <w:t>doctrine, which gives deference to regulatory agencies in litigation against the FDA and other agencies, more companies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pStyle w:val="TextBody"/>
        <w:bidi w:val="0"/>
        <w:spacing w:before="180" w:after="283"/>
        <w:jc w:val="left"/>
        <w:rPr>
          <w:rFonts w:ascii="Times New Roman" w:hAnsi="Times New Roman"/>
          <w:sz w:val="20"/>
        </w:rPr>
      </w:pPr>
      <w:r>
        <w:rPr>
          <w:rFonts w:ascii="Times New Roman" w:hAnsi="Times New Roman"/>
          <w:b/>
          <w:i/>
          <w:color w:val="000000"/>
          <w:sz w:val="20"/>
        </w:rPr>
        <w:t>If we fail to comply with healthcare regulations, we could face substantial penalties and our business, operations and financial condition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indirectly, to induce either the referral of an individual, for an item or service or the purchasing or ordering of a good or service, for which payment may be made under federal healthcare programs, such as the Medicare and Medicaid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criminal laws that prohibit executing a scheme to defraud any healthcare benefit program or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which governs the conduct of certain electronic healthcare transactions and protects the security and privacy of protected health information;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such as anti-kickback and false claims laws which may apply to items or services reimbursed by any third-party payer, including commercial insurers.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resulting from a violation of the Federal Anti-Kickback Statute constitutes a false or fraudulent claim for purposes of the False Claims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Our stock price may be volatile, and purchasers of our securities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As a result of this volatility, investors may not be able to sell their common stock at or above the purchase price. The market price for our common stock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and our ability to obtain regulatory approval of DCCR in Prader Willi Syndrome;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and realize significant revenues from sales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other clinical studies of our products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introductions and announcements of new products by us, our commercialization partners, or our competitors, and the timing of these introductions or announcements;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taken by regulatory agencies with respect to our products, clinical studies,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efforts to acquire or in-license additional products or planned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collaborations, including but not limited to those with our sources of manufacturing supply and our commercialization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concerning our ability to bring our manufacturing processes to scale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earnings estimates or changes in stock market analyst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those due to inflation;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risks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 </w:t>
      </w:r>
    </w:p>
    <w:p>
      <w:pPr>
        <w:pStyle w:val="TextBody"/>
        <w:bidi w:val="0"/>
        <w:spacing w:before="180" w:after="283"/>
        <w:jc w:val="left"/>
        <w:rPr>
          <w:rFonts w:ascii="Times New Roman" w:hAnsi="Times New Roman"/>
          <w:sz w:val="20"/>
        </w:rPr>
      </w:pPr>
      <w:r>
        <w:rPr>
          <w:rFonts w:ascii="Times New Roman" w:hAnsi="Times New Roman"/>
          <w:b/>
          <w:i/>
          <w:color w:val="000000"/>
          <w:sz w:val="20"/>
        </w:rPr>
        <w:t>Future sales of our common stock, or the perception that future sales may occur, may cause the market price of our common stock to decline,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 </w:t>
      </w:r>
    </w:p>
    <w:p>
      <w:pPr>
        <w:pStyle w:val="TextBody"/>
        <w:bidi w:val="0"/>
        <w:spacing w:before="180" w:after="283"/>
        <w:jc w:val="left"/>
        <w:rPr>
          <w:rFonts w:ascii="Times New Roman" w:hAnsi="Times New Roman"/>
          <w:sz w:val="20"/>
        </w:rPr>
      </w:pPr>
      <w:r>
        <w:rPr>
          <w:rFonts w:ascii="Times New Roman" w:hAnsi="Times New Roman"/>
          <w:b/>
          <w:i/>
          <w:color w:val="000000"/>
          <w:sz w:val="20"/>
        </w:rPr>
        <w:t>Our executive officers, directors and principal stockholders may continue to maintain the ability to control or significantly influence all matters submitted to stockholders for approval and under certain circumstances may have control over key decision making.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180" w:after="283"/>
        <w:jc w:val="left"/>
        <w:rPr>
          <w:rFonts w:ascii="Times New Roman" w:hAnsi="Times New Roman"/>
          <w:sz w:val="20"/>
        </w:rPr>
      </w:pPr>
      <w:r>
        <w:rPr>
          <w:rFonts w:ascii="Times New Roman" w:hAnsi="Times New Roman"/>
          <w:b/>
          <w:i/>
          <w:color w:val="000000"/>
          <w:sz w:val="20"/>
        </w:rPr>
        <w:t>Our ability to use our net operating loss carry forwards and certain other tax attributes will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we also raised capital in October 2019, June 2020, March 2022, December 2022 and October 2023 that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 </w:t>
      </w:r>
    </w:p>
    <w:p>
      <w:pPr>
        <w:pStyle w:val="TextBody"/>
        <w:bidi w:val="0"/>
        <w:spacing w:before="180" w:after="283"/>
        <w:jc w:val="left"/>
        <w:rPr>
          <w:rFonts w:ascii="Times New Roman" w:hAnsi="Times New Roman"/>
          <w:sz w:val="20"/>
        </w:rPr>
      </w:pPr>
      <w:r>
        <w:rPr>
          <w:rFonts w:ascii="Times New Roman" w:hAnsi="Times New Roman"/>
          <w:b/>
          <w:i/>
          <w:color w:val="000000"/>
          <w:sz w:val="20"/>
        </w:rPr>
        <w:t>As our warrant holders exercise their warrants into shares of our common stock, our stockholders will be diluted.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 </w:t>
      </w:r>
    </w:p>
    <w:p>
      <w:pPr>
        <w:pStyle w:val="TextBody"/>
        <w:bidi w:val="0"/>
        <w:spacing w:before="18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 </w:t>
      </w:r>
    </w:p>
    <w:p>
      <w:pPr>
        <w:pStyle w:val="TextBody"/>
        <w:bidi w:val="0"/>
        <w:spacing w:before="180" w:after="283"/>
        <w:jc w:val="left"/>
        <w:rPr>
          <w:rFonts w:ascii="Times New Roman" w:hAnsi="Times New Roman"/>
          <w:sz w:val="20"/>
        </w:rPr>
      </w:pPr>
      <w:r>
        <w:rPr>
          <w:rFonts w:ascii="Times New Roman" w:hAnsi="Times New Roman"/>
          <w:b/>
          <w:i/>
          <w:color w:val="000000"/>
          <w:sz w:val="20"/>
        </w:rPr>
        <w:t>Provisions in our corporate charter documents and under Delaware law could make an acquisition of us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divided into three classes with staggered three-year terms which may delay or prevent a change of our management or a change in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has the right to elect directors to fill a vacancy created by the expansion of our Board or the resignation, death or removal of a director, which will prevent stockholders from being able to fill vacancies on our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prohibits cumulative voting in the election of directors, which limits the ability of minority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amendments of our certificate of incorporation and bylaws require the approval of 66 2/3% of our outstanding voting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stockholders are required to provide advance notice and additional disclosures in order to nominate individuals for election to our Board or to propose matters that can be acted upon at a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meeting, which may discourage or deter a potential acquirer from conducting a solicitation of proxies to elect the acquirer’s own slate of directors or otherwise attempting to obtain control of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180" w:after="283"/>
        <w:jc w:val="left"/>
        <w:rPr>
          <w:rFonts w:ascii="Times New Roman" w:hAnsi="Times New Roman"/>
          <w:sz w:val="20"/>
        </w:rPr>
      </w:pPr>
      <w:r>
        <w:rPr>
          <w:rFonts w:ascii="Times New Roman" w:hAnsi="Times New Roman"/>
          <w:b/>
          <w:i/>
          <w:color w:val="000000"/>
          <w:sz w:val="20"/>
        </w:rPr>
        <w:t>Our employment agreements with our executive officers may require us to pay severance benefits to any of those persons who are terminated in connection with a change in control of us, which could harm our financial condition or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future, and, as a result, any return on investment may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paid dividends and do not anticipate paying dividends in the foreseeable future. The payment of dividends will depend on our earnings, capital requirements, financial condition, prospects and other factors our Board may deem relevant. If we do not pay dividends, our stock may be less valuable because a return on your investment will only occur if our stock price appreciates and you sell our common stock thereafter.</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b/>
          <w:i/>
          <w:color w:val="000000"/>
          <w:sz w:val="20"/>
        </w:rPr>
        <w:t>Intrusions into our computer systems could result in compromise of confidential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 </w:t>
      </w:r>
    </w:p>
    <w:p>
      <w:pPr>
        <w:pStyle w:val="TextBody"/>
        <w:bidi w:val="0"/>
        <w:spacing w:before="180" w:after="283"/>
        <w:jc w:val="left"/>
        <w:rPr>
          <w:rFonts w:ascii="Times New Roman" w:hAnsi="Times New Roman"/>
          <w:sz w:val="20"/>
        </w:rPr>
      </w:pPr>
      <w:r>
        <w:rPr>
          <w:rFonts w:ascii="Times New Roman" w:hAnsi="Times New Roman"/>
          <w:b/>
          <w:i/>
          <w:color w:val="000000"/>
          <w:sz w:val="20"/>
        </w:rPr>
        <w:t>Unfavorable U.S. or global economic conditions as a result of international conflict, or otherwise, could adversely affect our ability to raise capital and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the potential economic impact brought by the hostilities in the Ukraine and the Middle East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 </w:t>
      </w:r>
    </w:p>
    <w:p>
      <w:pPr>
        <w:pStyle w:val="TextBody"/>
        <w:bidi w:val="0"/>
        <w:spacing w:before="180" w:after="283"/>
        <w:jc w:val="left"/>
        <w:rPr>
          <w:rFonts w:ascii="Times New Roman" w:hAnsi="Times New Roman"/>
          <w:sz w:val="20"/>
        </w:rPr>
      </w:pPr>
      <w:r>
        <w:rPr>
          <w:rFonts w:ascii="Times New Roman" w:hAnsi="Times New Roman"/>
          <w:b/>
          <w:i/>
          <w:color w:val="000000"/>
          <w:sz w:val="20"/>
        </w:rPr>
        <w:t>We have incurred and will continue to incur significant increased costs as a result of operating as a public company, and our management has devoted and will be required to continue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our Board committees, or as executive officers.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is responsible for overseeing our risk management program and cybersecurity is a critical element of this program. Management is responsible for the day-to-day administration of our risk management program and our cybersecurity policies, processes, and practices. Our cybersecurity policies, standards, processes, and practices are based on recognized frameworks established by the Center for Internet Security (CIS) and other applicable industry standards and are integrated into our overall risk management system and processes. We have not identified any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 - Intrusions into our computer systems could result in compromise of confidential information.”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Cybersecurity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strategy focuses on several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and Reporting: We have implemented a cross-functional approach to assessing, identifying and managing material cybersecurity threats and incidents.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as well as outside audits and certifications.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Incident Response and Recovery Planning: We are establishing incident response, business continuity, and disaster recovery plans designed to address our response to a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Risk Management: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third-party systems, including any outside auditors or consultants who advise on our cybersecurity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Assessments: We conduct periodic assessments and testing of our policies, standards, processes, and practices in a manner intended to address cybersecurity threats and events. The results of such assessments, audits, and reviews are evaluated by management and reported to our Audit Committee and our board of directors, and we adjust our cybersecurity policies, standards, processes, and practices as necessary based on the information provided by these assessments, audits, and reviews.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oversees our risk management program, including the management of cybersecurity threats as part of its general oversight function. Our Audit Committee is taking the lead on behalf of the board of directors on oversight of our cybersecurity risk management program and receives reports from management concerning our cybersecurity risk management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various members of our management team, IT department and other employees, including but not limited to the individuals on our cybersecurity incident management team, which includes individuals who have a diverse combination of relevant expertise, experience, education and training, with representation from our IT, finance, legal, human resources, among others. Our team includes individuals with relevant experience in enterprise risk management and disclosure controls and procedures. Additionally, certain members of our IT department have experience managing cybersecurity programs and are specifically assigned cybersecurity oversight. Our cybersecurity incident response processes are designed to escalate certain cybersecurity incidents to members of management depending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circumstances, including in some cases to our executive team. Our cybersecurity incident management team, and other individuals as needed, work to help us mitigate and remediate cybersecurity incidents of which we are notified.</w:t>
      </w:r>
    </w:p>
    <w:p>
      <w:pPr>
        <w:pStyle w:val="TextBody"/>
        <w:bidi w:val="0"/>
        <w:spacing w:before="360" w:after="283"/>
        <w:jc w:val="center"/>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sz w:val="20"/>
        </w:rPr>
      </w:pPr>
      <w:r>
        <w:rPr>
          <w:rFonts w:ascii="Times New Roman" w:hAnsi="Times New Roman"/>
          <w:b/>
          <w:color w:val="000000"/>
          <w:sz w:val="20"/>
        </w:rPr>
        <w:t>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facilities consist of office space in Redwood City, California. We currently occupy 6,368 square feet of office space under a non-cancelable operating lease that expires in May 2025. On February 8, 2024, the Company entered into a six-month office license agreement to license 4,141 square feet of additional space adjacent to its existing office where the Company is currently located in Redwood City, California. The term of the new space expires October 31, 2024, unless terminated earlier in accordance with the office license agreement.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believe that the facilities that we currently lease are adequate for our needs for the immediate future and that, should it be needed, additional space can be leased on commercially reasonable terms to accommodate any future needs.</w:t>
      </w:r>
    </w:p>
    <w:p>
      <w:pPr>
        <w:pStyle w:val="TextBody"/>
        <w:bidi w:val="0"/>
        <w:spacing w:before="360" w:after="283"/>
        <w:jc w:val="center"/>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 </w:t>
      </w:r>
    </w:p>
    <w:p>
      <w:pPr>
        <w:pStyle w:val="TextBody"/>
        <w:bidi w:val="0"/>
        <w:spacing w:before="360" w:after="283"/>
        <w:jc w:val="center"/>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quoted on The Nasdaq Capital Market under the symbol “SLNO”. Our 2022 common warrants, 2023 Tranche A pre-funded warrants, 2023 Tranche B warrants and pre-funded warrants, and October 2023 pre-funded warrants are not traded on a national securities exchange.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1, 2024, there were 37 shareholders of record for our common stock. A substantially greater number of stockholders may be “street name” or beneficial holders, whose shares are held of record by banks, brokers and other financial institutions. </w:t>
      </w:r>
    </w:p>
    <w:p>
      <w:pPr>
        <w:pStyle w:val="TextBody"/>
        <w:bidi w:val="0"/>
        <w:spacing w:before="36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common stock, and currently do not plan to declare dividends on shares of our common stock in the foreseeable future. We expect to retain our future earnings, if any, for use in the operation and expansion of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Unregistered Sales of Equity Securities and Use of Proceeds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 </w:t>
      </w:r>
    </w:p>
    <w:p>
      <w:pPr>
        <w:pStyle w:val="TextBody"/>
        <w:bidi w:val="0"/>
        <w:spacing w:before="360" w:after="283"/>
        <w:jc w:val="center"/>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our audited consolidated financial statements and the related notes that appear elsewhere in this Annual Report on Form 10-K. This Annual Report on Form 10-K contains “forward-looking statements” within the meaning of Section 21E of the Securities Exchange Act of 1934, as amended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focused on the development and commercialization of novel therapeutics for the treatment of rare diseases. Our lead candidate is DCCR (Diazoxide Choline) Extended-Release tablets, a once-daily oral tablet for the treatment of Prader-Willi Syndrome (PWS). We have a Fast-Track designation for DCCR in PWS and orphan designation for the drug in the United States (U.S.) and European Union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DCCR has been evaluated in a Phase 3 study (C601 or DESTINY PWS), a 3-month randomized, double-blind placebo-controlled study, which completed enrollment in January 2020, with 127 patients at 29 sites in the U.S. and U.K. Participants who completed DESTINY PWS were eligible to receive DCCR in a long-term open-label extension period (C602). Top line results from DESTINY PWS were announced in June 2020. Although the trial did not meet its primary endpoint of change from baseline in hyperphagia, significant improvements were observed in two of three key secondary endpoints.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2021, we announced analysis limited to data from C601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provided official meeting minutes from a Type C meeting in January 2022 that recommended additional controlled data be included in a New Drug Approval (NDA) 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2022, we submitted an amended protocol that incorporated a randomized withdrawal (RW) period to Study C602 in order to obtain additional controlled data requested by the FDA. The RW period of Study C602 was a multi-center, randomized, double-blind, placebo-controlled study of DCCR in 77 patients with PWS at 17 sites in the U.S. and 5 sites in the U.K. This RW period consisted only of patients currently enrolled in Study C602 and did not enroll any new patients. We announced the initiation of the RW period for Study C602 in October 2022, and completed enrollment in May 2023. The FDA has acknowledged that data from the study has the potential to support an NDA submission for DCCR.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26, 2023, we announced positive statistically significant top-line results from the RW period of Study C602. Subsequently, we received preliminary comments from the FDA for our pre-NDA meeting, and as we decided not to proceed with the meeting, they are considered the official record of the meeting. The FDA stated that the potential for data from the DCCR clinical program to provide substantial evidence of effectiveness will be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matter of review following the submission of an NDA. We plan to submit our NDA for DCCR to the FDA in mid-2024.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As of December 31, 2023, we had an accumulated deficit of $276.4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 As of December 31, 2023, we had cash and cash equivalents of $169.7 million.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net income from operations to date, and at December 31, 2023 we had an accumulated deficit of $276.4 million,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earned no revenue from the commercial development and sale of novel therapeutic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expenses incurred by contract research organizations (CROs) associated with our clinical trials, contract manufacturing organizations (CMOs) associated with the manufacture of our drug product, employee related expenses, including salaries and benefits, and professional consultant costs. These expenses will vary with the cadence and success of our product candidate progressing from clinical to commercial stage.</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principally of salaries and benefits, stock-based compensation expense, professional fees for legal, consulting, audit and tax services, insurance, rent, pre-commercial activities, and other general operating expenses not otherwise included in research and development. We anticipate general and administrative expenses will increase in future periods, reflecting an expanding infrastructure, an increase in pre-commercial activities, other administrative expenses, and increased professional fees associated with being a public reporting company.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 in fair value of 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contingent consideration represents the change in the fair value of the additional consideration that we expect to pay to the former Essentialis stockholders based on our assessment of the expected likelihood of achieving two commercial sales milestones of $100.0 million in revenue and $200.0 million in revenue in future years.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is comprised of interest income and the change in the fair value of the 2018 PIPE common stock warrant liabilities.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charged to operations as incurred. Research and development expenses consist primarily of salaries, benefits, bonus, share-based compensation, consultant fees, certain facility costs and other costs associated with clinical trials and the manufacture of our drug product. Clinical trial costs are a significant component of research and development expenses and include costs associated with CROs and other vendors. Invoicing from CROs and CMOs for services performed can often occur several months later. We accrue the costs incurred for clinical trial activities as measured by patient progression and the timing of various aspects of the trial. For other services, we accrue the costs in connection with third-party contractor activities based on our estimate of fees and costs associate with the contract that were rendered during the period and they are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acquire technologies to be used in research and development that have not reached technological feasibility and have no alternative future use are expensed to research and development costs when incurred.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related to stock options and restricted stock units granted to employees, nonemployees and directors are measured at the date of grant based on the estimated fair value of the award. For restricted stock units this fair value is based on our common stock price on the grant date. We estimate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w:t>
      </w:r>
      <w:r>
        <w:rPr>
          <w:color w:val="000000"/>
        </w:rPr>
        <w:t xml:space="preserve"> </w:t>
      </w:r>
      <w:r>
        <w:rPr>
          <w:rFonts w:ascii="Times New Roman" w:hAnsi="Times New Roman"/>
          <w:color w:val="000000"/>
          <w:sz w:val="20"/>
        </w:rPr>
        <w:t xml:space="preserve">We calculated the estimated volatility rate for stock options granted based on the volatility of our common stock for a historical period equal to the expected life of the stock options.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life:</w:t>
      </w:r>
      <w:r>
        <w:rPr>
          <w:color w:val="000000"/>
        </w:rPr>
        <w:t xml:space="preserve"> </w:t>
      </w:r>
      <w:r>
        <w:rPr>
          <w:rFonts w:ascii="Times New Roman" w:hAnsi="Times New Roman"/>
          <w:color w:val="000000"/>
          <w:sz w:val="20"/>
        </w:rPr>
        <w:t>Due to the lack of historical exercise history, the expected life of our service-based stock 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rate:</w:t>
      </w:r>
      <w:r>
        <w:rPr>
          <w:color w:val="000000"/>
        </w:rPr>
        <w:t xml:space="preserve"> </w:t>
      </w:r>
      <w:r>
        <w:rPr>
          <w:rFonts w:ascii="Times New Roman" w:hAnsi="Times New Roman"/>
          <w:color w:val="000000"/>
          <w:sz w:val="20"/>
        </w:rPr>
        <w:t xml:space="preserve">The risk-free interest rate is based on the yields of U.S. Treasury securities with maturities similar to the expected time to liquidity.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color w:val="000000"/>
        </w:rPr>
        <w:t xml:space="preserve"> </w:t>
      </w:r>
      <w:r>
        <w:rPr>
          <w:rFonts w:ascii="Times New Roman" w:hAnsi="Times New Roman"/>
          <w:color w:val="000000"/>
          <w:sz w:val="20"/>
        </w:rPr>
        <w:t xml:space="preserve">We have never declared or paid any cash dividends and do not presently plan to pay cash dividends in the foreseeable future. Consequently, we used an expected dividend yield of zero.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Contingent consideration elements of a business combination are recorded in accordance with ASC 805 which provides that, when contingent consideration terms provide for future payment obligations, the obligation is measured at its fair value on the acquisition date, and the subsequent increase or decrease of the value of the estimated amounts of contingent consideration to be paid is be recognized as expense or income, respectively, in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agreement to pay the former Essentialis stockholders for achieving certain commercial milestones resulted in the recognition of contingent consideration, which was recorded at the inception of the transaction,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subsequent changes to estimate the amount of contingent consideration to be paid is recognized as expenses or income in the consolidated statements of operations. The fair value of the contingent consideration is based on our analysis of the likelihood of the drug indication moving from Phase 3 through approval by the FDA and then reaching the cumulative revenue milestones. </w:t>
      </w:r>
    </w:p>
    <w:p>
      <w:pPr>
        <w:pStyle w:val="TextBody"/>
        <w:bidi w:val="0"/>
        <w:spacing w:before="240" w:after="283"/>
        <w:jc w:val="left"/>
        <w:rPr>
          <w:rFonts w:ascii="Times New Roman" w:hAnsi="Times New Roman"/>
          <w:sz w:val="20"/>
        </w:rPr>
      </w:pPr>
      <w:r>
        <w:rPr>
          <w:rFonts w:ascii="Times New Roman" w:hAnsi="Times New Roman"/>
          <w:b/>
          <w:i/>
          <w:color w:val="000000"/>
          <w:sz w:val="20"/>
        </w:rPr>
        <w:t>Common Stock Purchase Warrants and Other 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warrants in accordance with the guidance in ASC 815 </w:t>
      </w:r>
      <w:r>
        <w:rPr>
          <w:rFonts w:ascii="Times New Roman" w:hAnsi="Times New Roman"/>
          <w:i/>
          <w:color w:val="000000"/>
          <w:sz w:val="20"/>
        </w:rPr>
        <w:t>Derivatives and Hedging</w:t>
      </w:r>
      <w:r>
        <w:rPr>
          <w:rFonts w:ascii="Times New Roman" w:hAnsi="Times New Roman"/>
          <w:color w:val="000000"/>
          <w:sz w:val="20"/>
        </w:rPr>
        <w:t xml:space="preserve">. We classify common stock purchase warrants and other free standing derivative financial instruments as equity if the contracts (i) require physical settlement or net-share settlement or (ii) give us a choice of net-cash settlement or settlement in shares (physical settlement or net-share settlement). We classify any contracts that (i) require net-cash settlement (including a requirement to net cash settle the contract if an event occurs and if that event is outside our control), (ii) give the counterparty a choice of net-cash settlement or settlement in shares (physical settlement or net-share settlement), or (iii) contain reset provisions, as either an asset or a liability. We assess classification of freestanding derivatives at each reporting date to determine whether a change in classification between equity and liabilities is required. We determined that certain freestanding derivatives, which principally consist of the 2018 PIPE Warrants, do not satisfy the criteria for classification as equity instruments due to the existence of certain cash settlement features that are not within our sole control or variable settlement provision that cause them to not be indexed to our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classified the 2018 PIPE Warrants at their fair value and re-measured them at each balance sheet date until they were exercised or expired. Any changes in the fair value were recognized as Other income (expense) in the consolidated statements of operations. The 2018 PIPE Warrants expired in December 2023.</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the liability method of accounting for income taxes, whereby deferred tax assets or liability account balances are calculated at the balance sheet date using current tax laws and rates in effect for the year in which the differences are expected to affect taxable income. We have provided a valuation allowance to reduce deferred tax assets to the amount that will more likely than not be realized.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uncertainty in income taxes as required by the provisions of ASC Topic 740, </w:t>
      </w:r>
      <w:r>
        <w:rPr>
          <w:rFonts w:ascii="Times New Roman" w:hAnsi="Times New Roman"/>
          <w:i/>
          <w:color w:val="000000"/>
          <w:sz w:val="20"/>
        </w:rPr>
        <w:t>Income Taxes</w:t>
      </w:r>
      <w:r>
        <w:rPr>
          <w:rFonts w:ascii="Times New Roman" w:hAnsi="Times New Roman"/>
          <w:color w:val="000000"/>
          <w:sz w:val="20"/>
        </w:rPr>
        <w:t xml:space="preserve">,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 For more information, see the section titled “Risk Factors—Our ability to use our net operating loss carry forwards and certain other tax attributes will be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jc w:val="left"/>
        <w:rPr/>
      </w:pPr>
      <w:r>
        <w:rPr/>
        <w:t> </w:t>
      </w:r>
    </w:p>
    <w:tbl>
      <w:tblPr>
        <w:tblW w:w="10021" w:type="dxa"/>
        <w:jc w:val="left"/>
        <w:tblInd w:w="0" w:type="dxa"/>
        <w:tblLayout w:type="fixed"/>
        <w:tblCellMar>
          <w:top w:w="28" w:type="dxa"/>
          <w:left w:w="28" w:type="dxa"/>
          <w:bottom w:w="28" w:type="dxa"/>
          <w:right w:w="28" w:type="dxa"/>
        </w:tblCellMar>
      </w:tblPr>
      <w:tblGrid>
        <w:gridCol w:w="4266"/>
        <w:gridCol w:w="146"/>
        <w:gridCol w:w="211"/>
        <w:gridCol w:w="736"/>
        <w:gridCol w:w="166"/>
        <w:gridCol w:w="146"/>
        <w:gridCol w:w="211"/>
        <w:gridCol w:w="736"/>
        <w:gridCol w:w="166"/>
        <w:gridCol w:w="146"/>
        <w:gridCol w:w="211"/>
        <w:gridCol w:w="736"/>
        <w:gridCol w:w="166"/>
        <w:gridCol w:w="146"/>
        <w:gridCol w:w="213"/>
        <w:gridCol w:w="703"/>
        <w:gridCol w:w="916"/>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42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commenced commercialization of DCCR, our current sole novel therapeutic product, and accordingly, through December 31, 2023, have generated no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$25.2 million for the year ended December 31, 2023, an increase of $9.9 million from $15.3 million in 2022. The increase is primarily due to increased spending in clinical trials and manufacturing efforts, and expenditures in support of an NDA submission.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$13.5 million for the year ended December 31, 2023, an increase of $3.6 million from $9.8 million in 2022. The increase was primarily related to higher stock-based compensation expense, higher costs as a result of an increase in headcount, and higher professional and consulting expenses in 2023.</w:t>
      </w:r>
    </w:p>
    <w:p>
      <w:pPr>
        <w:pStyle w:val="TextBody"/>
        <w:bidi w:val="0"/>
        <w:spacing w:before="24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obligated to make cash payments of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$11.5 million as of December 31, 2023, a $2.7 million increase from the estimate as of December 31,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other income (expense), net of $2.4 million, an increase of $2.1 million from $0.3 million in 2022. Interest income during 2023 was $2.3 million higher than in 2022, partially offset by a decrease in fair value of the 2018 PIPE Warrants of $0.2 million during 2023 compared to 2022.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had a net loss of $39.0 million during 2023 and an accumulated deficit of $276.4 million at December 31, 2023 as a result of having incurred losses since our inception. We had $169.7 million in cash and cash equivalents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$159.9 million of working capital at December 31, 2023, and used $24.9 million of cash in operating activities during 2023. As of December 31, 2023, we had lease obligations totaling $0.4 million to be paid through 2025, consisting of an operating lease for office space in Redwood City, California.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principally through issuances of equity securities. In July 2021, we announced that we were implementing an “at-the-market” (ATM) offering for up to $25.0 million. As of December 31, 2023, we have sold 1,877,170 shares of common stock through the ATM, totaling $7.4 million in net proceeds. We terminated the ATM offering in connection with the October 2023 financing discussed below. In December 2022, we entered into a securities purchase agreement providing for the sale of up to $60.0 million in warrants and the common stock issuable upon the exercise thereof. During 2023, we received $10.0 million from the sale of these warrants and $33.1 million in proceeds from the exercise of certain of these warrants. Warrants with an aggregate exercise price of $16.9 million are still outstanding. 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of approximately $60.0 million of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per-funded warrant of $19.99. In aggregate, we received $129.0 million of gross proceeds from this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of the periods presented below: </w:t>
      </w:r>
    </w:p>
    <w:p>
      <w:pPr>
        <w:pStyle w:val="TextBody"/>
        <w:bidi w:val="0"/>
        <w:jc w:val="left"/>
        <w:rPr/>
      </w:pPr>
      <w:r>
        <w:rPr/>
        <w:t> </w:t>
      </w:r>
    </w:p>
    <w:tbl>
      <w:tblPr>
        <w:tblW w:w="7309" w:type="dxa"/>
        <w:jc w:val="left"/>
        <w:tblInd w:w="0" w:type="dxa"/>
        <w:tblLayout w:type="fixed"/>
        <w:tblCellMar>
          <w:top w:w="28" w:type="dxa"/>
          <w:left w:w="28" w:type="dxa"/>
          <w:bottom w:w="28" w:type="dxa"/>
          <w:right w:w="28" w:type="dxa"/>
        </w:tblCellMar>
      </w:tblPr>
      <w:tblGrid>
        <w:gridCol w:w="4521"/>
        <w:gridCol w:w="146"/>
        <w:gridCol w:w="211"/>
        <w:gridCol w:w="781"/>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(20,781</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operating activities used net cash of $24.9 million, which was primarily due to the loss of $39.0 million which included $5.9 million of stock-based compensation expense, non-cash expense of $2.7 million for the change in fair value of contingent consideration, $2.0 million of depreciation and amortization, $0.3 million of non-cash lease expense, and $0.2 million for the change in fair value of common stock warrant liability. Additionally, there was a $3.0 million net increase usage of cash during 2023 due to changes in operating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2022, operating activities used net cash of $20.8 million, which was primarily due to the loss of $24.1 million which included non-cash income of $0.7 million for the change in fair value of contingent consideration, adjusted for non-cash expense of $2.5 million of stock-based compensation expense, $2.0 million of depreciation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amortization, and $0.3 million of non-cash lease expense. Additionally, there was a $0.8 million net increase usage of cash during 2022 due to changes in operating assets and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purchases during 2023 and minimal cash used during 2022 for the costs of acquiring property and equipment.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we received $43.1 million from the sale and issuance of the warrants pursuant to the December 2022 Securities Purchase Agreement and the exercise of certain such warrants, and $129.0 million gross proceeds in conjunction with our October 2023 financing. As of December 31, 2023, all offering costs have been paid. We also received $9.3 million of net cash proceeds from the exercise of warrants from our March 2022 financing and $7.1 million of net cash proceeds through the ATM. The total net proceeds amount was slightly offset by payments for the taxes from net share-settled vesting of 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2022, we received $13.8 million of net cash proceeds from our March 2022 financing. As of December 31, 2022, all offering costs have been paid. We also received $0.3 million of net cash proceeds through the ATM. The total net proceeds amount was slightly offset by payments for the taxes from net share-settled vesting of restricted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cash and cash equivalents of $169.7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obligated to make cash earnout payments of up to a maximum of $21.2 million to the former Essentialis stockholders upon the achievement of certain commercial milestones associated with the sale of Essentialis’ product in accordance with the terms of our merger agreement with Essentialis.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no off-balance sheet arrangements as defined in Item 303(a)(4) of Regulation S-K as promulgated by the SEC. </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Guidance Update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Recently Issued Accounting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standard setting bodies and adopted by us as of the specified effective date. </w:t>
      </w:r>
    </w:p>
    <w:p>
      <w:pPr>
        <w:pStyle w:val="TextBody"/>
        <w:bidi w:val="0"/>
        <w:spacing w:before="360" w:after="283"/>
        <w:jc w:val="center"/>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color w:val="000000"/>
          <w:sz w:val="20"/>
        </w:rPr>
        <w:t>Interest Rate Sensitivity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unrestricted cash and cash equivalents totaling $169.7 million at December 31, 2023. This balance was invested primarily in money market funds and are held for working capital purposes. We do not enter into investments for trading or speculative purposes. We believe we do not have material exposure to changes in fair value as a result of changes in interest rates. Declines in interest rates, however, will reduce future interest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item_8_consolidated_financial_statements"/>
      <w:bookmarkEnd w:id="16"/>
      <w:r>
        <w:rPr>
          <w:rFonts w:ascii="Times New Roman" w:hAnsi="Times New Roman"/>
          <w:b/>
          <w:color w:val="000000"/>
          <w:sz w:val="20"/>
        </w:rPr>
        <w:t>ITEM 8. CONSOLIDATED FINANCIAL STATEMENTS AND SUPPLEMENTARY DATA</w:t>
      </w:r>
    </w:p>
    <w:p>
      <w:pPr>
        <w:pStyle w:val="TextBody"/>
        <w:bidi w:val="0"/>
        <w:spacing w:before="120" w:after="283"/>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5222" w:type="dxa"/>
        <w:jc w:val="left"/>
        <w:tblInd w:w="0" w:type="dxa"/>
        <w:tblLayout w:type="fixed"/>
        <w:tblCellMar>
          <w:top w:w="28" w:type="dxa"/>
          <w:left w:w="28" w:type="dxa"/>
          <w:bottom w:w="28" w:type="dxa"/>
          <w:right w:w="28" w:type="dxa"/>
        </w:tblCellMar>
      </w:tblPr>
      <w:tblGrid>
        <w:gridCol w:w="4861"/>
        <w:gridCol w:w="361"/>
      </w:tblGrid>
      <w:tr>
        <w:trPr/>
        <w:tc>
          <w:tcPr>
            <w:tcW w:w="48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4861"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4861"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4861"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hyperlink w:anchor="consolidated_statements_stockholders_equ">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4861"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4861" w:type="dxa"/>
            <w:tcBorders/>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61" w:type="dxa"/>
            <w:tcBorders/>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report_independent_registered_public_acc"/>
      <w:bookmarkEnd w:id="17"/>
      <w:r>
        <w:rPr>
          <w:rFonts w:ascii="Times New Roman" w:hAnsi="Times New Roman"/>
          <w:b/>
          <w:caps/>
          <w:color w:val="000000"/>
          <w:sz w:val="20"/>
        </w:rPr>
        <w:t>Report of Independent Registered Public Accounting Firm</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Shareholders and Board of Directors of </w:t>
      </w:r>
    </w:p>
    <w:p>
      <w:pPr>
        <w:pStyle w:val="TextBody"/>
        <w:bidi w:val="0"/>
        <w:jc w:val="left"/>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Opinion on the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Soleno Therapeutics, Inc. (the “Company”) as of December 31, 2023 and 2022, the related consolidated statements of operations,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240" w:after="283"/>
        <w:jc w:val="left"/>
        <w:rPr>
          <w:rFonts w:ascii="Times New Roman" w:hAnsi="Times New Roman"/>
          <w:sz w:val="20"/>
        </w:rPr>
      </w:pPr>
      <w:r>
        <w:rPr>
          <w:rFonts w:ascii="Times New Roman" w:hAnsi="Times New Roman"/>
          <w:b/>
          <w:i/>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Audit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Accrual of Clinical Trial Costs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Description of the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in Note 3 to the consolidated financial statements, the Company records research and development costs associated with clinical trial activities based upon estimates of costs incurred through the balance sheet date that have yet to be invoiced by the contract research organizations (“CRO”) and other vendors.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accounts for these expenses according to the progress of the trial as measured by patient progression and the timing of various aspects of the trial. Estimated accruals are determined based on reviewing contractual terms and through communications with internal clinical personnel and external service providers including CRO’s as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progress or state of its trials. The principal consideration for our determination that performing procedures related to the clinical trial expenses, specifically related to the year-end accrual for clinical trial costs, is a critical audit matter is that there was judgment by management in determining the progress of the activities included in the individual clinical trial agreements based on internal and external information that involves a high volume of data.</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How We Addressed the Matter in Our Audit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evaluate the accrual for clinical expenses, our audit procedures included, among others, testing the completeness and accuracy of the underlying data used in the estimates and evaluating the significant assumptions including, but not limited to, subject visit dates and costs per subject visit, that are used by management to estimate the recorded accruals. To assess the reasonableness of the significant assumptions, we obtained an understanding of the Company’s estimation process relating to accrual for clinical trial costs, confirmed clinical activity with the Company's CRO for active trials, corroborated the progress of clinical trials with the Company’s clinical team and obtained third party invoices related to active patient sites, currently enrolled patients, and subject visit dates. We also tested a sample of subsequent payments to assess the impact to the accrual at the balance sheet date and compared that to the Company’s estimates.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Fair Value of Contingent Consideration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Description of the Matter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in Notes 3 and 4 to the consolidated financial statements, the Company’s acquisition-related purchase price contingent liability, which is estimated using scenario-based methods based upon the Company’s analysis of the likelihood of obtaining specified approvals from the Federal Drug Administration as well as reaching cumulative revenue milestones, is remeasured to its estimated fair value each reporting period, with changes in fair value recorded in the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Company’s projected future sales, which are affected by expectations about approval of a New Drug Application and future industry, market or economic conditions.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We Addressed the Matter in Our Audit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evaluate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Our valuation specialists recalculated the work performed by the Company to ensure that recorded amount was accurate. We also compared the significant assumptions to current industry, market and economic trends.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/s/ Marcum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Marcum LLP </w:t>
      </w:r>
    </w:p>
    <w:p>
      <w:pPr>
        <w:pStyle w:val="TextBody"/>
        <w:bidi w:val="0"/>
        <w:spacing w:before="240" w:after="283"/>
        <w:jc w:val="left"/>
        <w:rPr>
          <w:rFonts w:ascii="Times New Roman" w:hAnsi="Times New Roman"/>
          <w:sz w:val="20"/>
        </w:rPr>
      </w:pPr>
      <w:r>
        <w:rPr>
          <w:rFonts w:ascii="Times New Roman" w:hAnsi="Times New Roman"/>
          <w:color w:val="000000"/>
          <w:sz w:val="20"/>
        </w:rPr>
        <w:t>We have served as the Company’s auditor since 2014</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San Francisco, CA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6,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8" w:name="consolidated_balance_sheets"/>
      <w:bookmarkEnd w:id="18"/>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6"/>
        <w:gridCol w:w="146"/>
        <w:gridCol w:w="217"/>
        <w:gridCol w:w="867"/>
        <w:gridCol w:w="166"/>
        <w:gridCol w:w="146"/>
        <w:gridCol w:w="217"/>
        <w:gridCol w:w="867"/>
        <w:gridCol w:w="993"/>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15,647</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26,497</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2018 PIPE Warrant liability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Contingent liability for Essentialis purchase price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color w:val="000000"/>
              </w:rPr>
            </w:pPr>
            <w:r>
              <w:rPr>
                <w:color w:val="000000"/>
              </w:rPr>
              <w:t>—</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$0.001 par value, 100,000,000 shares authorized, </w:t>
              <w:br/>
              <w:t>   31,678,159 and 8,159,382 shares issued and outstanding at</w:t>
              <w:br/>
              <w:t>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993" w:type="dxa"/>
            <w:tcBorders/>
            <w:shd w:fill="FFFFFF" w:val="clear"/>
            <w:vAlign w:val="center"/>
          </w:tcPr>
          <w:p>
            <w:pPr>
              <w:pStyle w:val="TableContents"/>
              <w:bidi w:val="0"/>
              <w:spacing w:before="0" w:after="283"/>
              <w:jc w:val="lef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247,762</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(237,422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26,497</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consolidated_statements_operations"/>
      <w:bookmarkEnd w:id="19"/>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left"/>
        <w:rPr/>
      </w:pPr>
      <w:r>
        <w:rPr/>
        <w:t> </w:t>
      </w:r>
    </w:p>
    <w:tbl>
      <w:tblPr>
        <w:tblW w:w="9394" w:type="dxa"/>
        <w:jc w:val="left"/>
        <w:tblInd w:w="0" w:type="dxa"/>
        <w:tblLayout w:type="fixed"/>
        <w:tblCellMar>
          <w:top w:w="28" w:type="dxa"/>
          <w:left w:w="28" w:type="dxa"/>
          <w:bottom w:w="28" w:type="dxa"/>
          <w:right w:w="28" w:type="dxa"/>
        </w:tblCellMar>
      </w:tblPr>
      <w:tblGrid>
        <w:gridCol w:w="6136"/>
        <w:gridCol w:w="146"/>
        <w:gridCol w:w="211"/>
        <w:gridCol w:w="1036"/>
        <w:gridCol w:w="166"/>
        <w:gridCol w:w="146"/>
        <w:gridCol w:w="211"/>
        <w:gridCol w:w="931"/>
        <w:gridCol w:w="4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w:t>
              <w:b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used to calculate basic and</w:t>
              <w:br/>
              <w:t>   diluted net loss per common share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8,397,088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20" w:name="consolidated_statements_stockholders_equ"/>
      <w:bookmarkEnd w:id="20"/>
      <w:r>
        <w:rPr>
          <w:rFonts w:ascii="Times New Roman" w:hAnsi="Times New Roman"/>
          <w:b/>
          <w:color w:val="000000"/>
          <w:sz w:val="20"/>
        </w:rPr>
        <w:t>Consolidated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6"/>
        <w:gridCol w:w="146"/>
        <w:gridCol w:w="146"/>
        <w:gridCol w:w="916"/>
        <w:gridCol w:w="166"/>
        <w:gridCol w:w="146"/>
        <w:gridCol w:w="249"/>
        <w:gridCol w:w="442"/>
        <w:gridCol w:w="146"/>
        <w:gridCol w:w="146"/>
        <w:gridCol w:w="196"/>
        <w:gridCol w:w="691"/>
        <w:gridCol w:w="166"/>
        <w:gridCol w:w="146"/>
        <w:gridCol w:w="217"/>
        <w:gridCol w:w="834"/>
        <w:gridCol w:w="166"/>
        <w:gridCol w:w="146"/>
        <w:gridCol w:w="231"/>
        <w:gridCol w:w="820"/>
        <w:gridCol w:w="413"/>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5,324,287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 withholding payments for net share-settled equity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common stock in public offering, net of issuance costs of $701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pre-funded warrants in public offering, net of issuance costs of $333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common stock, net of issuance costs of $10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 withholding payments for net share-settled equity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 of common stock and issuance of common stock warrants and pre-funded common stock warrants, net of issuance costs of $8,449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7,047,397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137,857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common stock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15,961,267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41,998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3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157,507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consolidated_statements_cash_flows"/>
      <w:bookmarkEnd w:id="21"/>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9"/>
        <w:gridCol w:w="146"/>
        <w:gridCol w:w="231"/>
        <w:gridCol w:w="770"/>
        <w:gridCol w:w="193"/>
        <w:gridCol w:w="186"/>
        <w:gridCol w:w="231"/>
        <w:gridCol w:w="731"/>
        <w:gridCol w:w="798"/>
      </w:tblGrid>
      <w:tr>
        <w:trPr/>
        <w:tc>
          <w:tcPr>
            <w:tcW w:w="6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69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Years Ended December 31,</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93" w:type="dxa"/>
            <w:tcBorders/>
            <w:shd w:fill="FFFFFF" w:val="cle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798" w:type="dxa"/>
            <w:tcBorders/>
            <w:shd w:fill="FFFFFF" w:val="clear"/>
            <w:vAlign w:val="center"/>
          </w:tcPr>
          <w:p>
            <w:pPr>
              <w:pStyle w:val="TableContents"/>
              <w:bidi w:val="0"/>
              <w:spacing w:before="0" w:after="283"/>
              <w:jc w:val="center"/>
              <w:rPr/>
            </w:pPr>
            <w:r>
              <w:rPr/>
              <w:t> </w:t>
            </w:r>
          </w:p>
        </w:tc>
      </w:tr>
      <w:tr>
        <w:trPr/>
        <w:tc>
          <w:tcPr>
            <w:tcW w:w="6919"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(38,988</w:t>
            </w:r>
          </w:p>
        </w:tc>
        <w:tc>
          <w:tcPr>
            <w:tcW w:w="19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(24,067</w:t>
            </w:r>
          </w:p>
        </w:tc>
        <w:tc>
          <w:tcPr>
            <w:tcW w:w="798"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200"/>
              <w:jc w:val="right"/>
              <w:rPr/>
            </w:pPr>
            <w:r>
              <w:rPr/>
              <w:t> </w:t>
            </w:r>
          </w:p>
        </w:tc>
      </w:tr>
      <w:tr>
        <w:trPr/>
        <w:tc>
          <w:tcPr>
            <w:tcW w:w="69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1,958</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1,964</w:t>
            </w:r>
          </w:p>
        </w:tc>
        <w:tc>
          <w:tcPr>
            <w:tcW w:w="798" w:type="dxa"/>
            <w:tcBorders/>
            <w:shd w:fill="FFFFFF" w:val="clear"/>
            <w:vAlign w:val="center"/>
          </w:tcPr>
          <w:p>
            <w:pPr>
              <w:pStyle w:val="TableContents"/>
              <w:bidi w:val="0"/>
              <w:spacing w:before="0" w:after="283"/>
              <w:ind w:left="0" w:right="0" w:firstLine="200"/>
              <w:jc w:val="left"/>
              <w:rPr/>
            </w:pPr>
            <w:r>
              <w:rPr/>
              <w:t> </w:t>
            </w:r>
          </w:p>
        </w:tc>
      </w:tr>
      <w:tr>
        <w:trPr/>
        <w:tc>
          <w:tcPr>
            <w:tcW w:w="69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Noncash lease expense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w:t>
            </w:r>
          </w:p>
        </w:tc>
        <w:tc>
          <w:tcPr>
            <w:tcW w:w="798" w:type="dxa"/>
            <w:tcBorders/>
            <w:shd w:fill="CFF0FC" w:val="clear"/>
            <w:vAlign w:val="center"/>
          </w:tcPr>
          <w:p>
            <w:pPr>
              <w:pStyle w:val="TableContents"/>
              <w:bidi w:val="0"/>
              <w:spacing w:before="0" w:after="283"/>
              <w:ind w:left="0" w:right="0" w:firstLine="200"/>
              <w:jc w:val="left"/>
              <w:rPr/>
            </w:pPr>
            <w:r>
              <w:rPr/>
              <w:t> </w:t>
            </w:r>
          </w:p>
        </w:tc>
      </w:tr>
      <w:tr>
        <w:trPr/>
        <w:tc>
          <w:tcPr>
            <w:tcW w:w="69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5,945</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2,530</w:t>
            </w:r>
          </w:p>
        </w:tc>
        <w:tc>
          <w:tcPr>
            <w:tcW w:w="798" w:type="dxa"/>
            <w:tcBorders/>
            <w:shd w:fill="FFFFFF" w:val="clear"/>
            <w:vAlign w:val="center"/>
          </w:tcPr>
          <w:p>
            <w:pPr>
              <w:pStyle w:val="TableContents"/>
              <w:bidi w:val="0"/>
              <w:spacing w:before="0" w:after="283"/>
              <w:ind w:left="0" w:right="0" w:firstLine="200"/>
              <w:jc w:val="left"/>
              <w:rPr/>
            </w:pPr>
            <w:r>
              <w:rPr/>
              <w:t> </w:t>
            </w:r>
          </w:p>
        </w:tc>
      </w:tr>
      <w:tr>
        <w:trPr/>
        <w:tc>
          <w:tcPr>
            <w:tcW w:w="69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 in fair value of common stock warrants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798"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2,714</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w:t>
            </w:r>
          </w:p>
        </w:tc>
        <w:tc>
          <w:tcPr>
            <w:tcW w:w="798"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ind w:left="0" w:right="0" w:firstLine="400"/>
              <w:jc w:val="right"/>
              <w:rPr/>
            </w:pPr>
            <w:r>
              <w:rPr/>
              <w:t> </w:t>
            </w:r>
          </w:p>
        </w:tc>
      </w:tr>
      <w:tr>
        <w:trPr/>
        <w:tc>
          <w:tcPr>
            <w:tcW w:w="691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Prepaid expenses, other current assets and other assets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w:t>
            </w:r>
          </w:p>
        </w:tc>
        <w:tc>
          <w:tcPr>
            <w:tcW w:w="19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798" w:type="dxa"/>
            <w:tcBorders/>
            <w:shd w:fill="FFFFFF" w:val="clear"/>
            <w:vAlign w:val="center"/>
          </w:tcPr>
          <w:p>
            <w:pPr>
              <w:pStyle w:val="TableContents"/>
              <w:bidi w:val="0"/>
              <w:spacing w:before="0" w:after="283"/>
              <w:ind w:left="0" w:right="0" w:firstLine="400"/>
              <w:jc w:val="left"/>
              <w:rPr/>
            </w:pPr>
            <w:r>
              <w:rPr/>
              <w:t> </w:t>
            </w:r>
          </w:p>
        </w:tc>
      </w:tr>
      <w:tr>
        <w:trPr/>
        <w:tc>
          <w:tcPr>
            <w:tcW w:w="691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1,372</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(1,477</w:t>
            </w:r>
          </w:p>
        </w:tc>
        <w:tc>
          <w:tcPr>
            <w:tcW w:w="798"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Accrued compensation</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1,460</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w:t>
            </w:r>
          </w:p>
        </w:tc>
        <w:tc>
          <w:tcPr>
            <w:tcW w:w="798" w:type="dxa"/>
            <w:tcBorders/>
            <w:shd w:fill="FFFFFF" w:val="clear"/>
            <w:vAlign w:val="center"/>
          </w:tcPr>
          <w:p>
            <w:pPr>
              <w:pStyle w:val="TableContents"/>
              <w:bidi w:val="0"/>
              <w:spacing w:before="0" w:after="283"/>
              <w:ind w:left="0" w:right="0" w:firstLine="400"/>
              <w:jc w:val="left"/>
              <w:rPr/>
            </w:pPr>
            <w:r>
              <w:rPr/>
              <w:t> </w:t>
            </w:r>
          </w:p>
        </w:tc>
      </w:tr>
      <w:tr>
        <w:trPr/>
        <w:tc>
          <w:tcPr>
            <w:tcW w:w="691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Accrued clinical trial site costs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798"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w:t>
            </w:r>
          </w:p>
        </w:tc>
        <w:tc>
          <w:tcPr>
            <w:tcW w:w="193"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798"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Other liabilities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19"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15"/>
              </w:rPr>
            </w:pPr>
            <w:r>
              <w:rPr>
                <w:rFonts w:ascii="Times New Roman" w:hAnsi="Times New Roman"/>
                <w:b/>
                <w:color w:val="000000"/>
                <w:sz w:val="15"/>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(24,940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(20,781</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5"/>
              </w:rPr>
            </w:pPr>
            <w:r>
              <w:rPr>
                <w:rFonts w:ascii="Times New Roman" w:hAnsi="Times New Roman"/>
                <w:b/>
                <w:color w:val="000000"/>
                <w:sz w:val="15"/>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 </w:t>
            </w:r>
          </w:p>
        </w:tc>
      </w:tr>
      <w:tr>
        <w:trPr/>
        <w:tc>
          <w:tcPr>
            <w:tcW w:w="6919"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sale of common stock, common stock warrants and pre-funded stock warrants, net of issuance costs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137,857</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14,108</w:t>
            </w:r>
          </w:p>
        </w:tc>
        <w:tc>
          <w:tcPr>
            <w:tcW w:w="798" w:type="dxa"/>
            <w:tcBorders/>
            <w:shd w:fill="CFF0FC"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exercise of common stock warrants and pre-funded stock warrants, net of costs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41,815</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798" w:type="dxa"/>
            <w:tcBorders/>
            <w:shd w:fill="FFFFFF" w:val="clear"/>
            <w:vAlign w:val="center"/>
          </w:tcPr>
          <w:p>
            <w:pPr>
              <w:pStyle w:val="TableContents"/>
              <w:bidi w:val="0"/>
              <w:spacing w:before="0" w:after="283"/>
              <w:jc w:val="left"/>
              <w:rPr/>
            </w:pPr>
            <w:r>
              <w:rPr/>
              <w:t> </w:t>
            </w:r>
          </w:p>
        </w:tc>
      </w:tr>
      <w:tr>
        <w:trPr/>
        <w:tc>
          <w:tcPr>
            <w:tcW w:w="6919"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stock option exercises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798" w:type="dxa"/>
            <w:tcBorders/>
            <w:shd w:fill="CFF0FC"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Tax withholding payments for net share-settled equity awards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15"/>
              </w:rPr>
            </w:pPr>
            <w:r>
              <w:rPr>
                <w:rFonts w:ascii="Times New Roman" w:hAnsi="Times New Roman"/>
                <w:b/>
                <w:color w:val="000000"/>
                <w:sz w:val="15"/>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180,019</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14,092</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9"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155,079</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(6,702</w:t>
            </w:r>
          </w:p>
        </w:tc>
        <w:tc>
          <w:tcPr>
            <w:tcW w:w="798"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6919"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14,602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21,304</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169,681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14,602</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1" w:type="dxa"/>
            <w:gridSpan w:val="2"/>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 </w:t>
            </w:r>
          </w:p>
        </w:tc>
      </w:tr>
      <w:tr>
        <w:trPr/>
        <w:tc>
          <w:tcPr>
            <w:tcW w:w="6919"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non-cash investing and financing information</w:t>
            </w:r>
          </w:p>
        </w:tc>
        <w:tc>
          <w:tcPr>
            <w:tcW w:w="146" w:type="dxa"/>
            <w:tcBorders/>
            <w:shd w:fill="CFF0FC" w:val="clear"/>
            <w:vAlign w:val="center"/>
          </w:tcPr>
          <w:p>
            <w:pPr>
              <w:pStyle w:val="TableContents"/>
              <w:bidi w:val="0"/>
              <w:spacing w:before="0" w:after="283"/>
              <w:jc w:val="left"/>
              <w:rPr/>
            </w:pPr>
            <w:r>
              <w:rPr/>
              <w:t> </w:t>
            </w:r>
          </w:p>
        </w:tc>
        <w:tc>
          <w:tcPr>
            <w:tcW w:w="1001"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798" w:type="dxa"/>
            <w:tcBorders/>
            <w:shd w:fill="CFF0FC"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right-of-use assets obtained in exchange for operating lease obligations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w:t>
            </w:r>
          </w:p>
        </w:tc>
        <w:tc>
          <w:tcPr>
            <w:tcW w:w="193"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798" w:type="dxa"/>
            <w:tcBorders/>
            <w:shd w:fill="FFFFFF" w:val="clear"/>
            <w:vAlign w:val="center"/>
          </w:tcPr>
          <w:p>
            <w:pPr>
              <w:pStyle w:val="TableContents"/>
              <w:bidi w:val="0"/>
              <w:spacing w:before="0" w:after="283"/>
              <w:jc w:val="left"/>
              <w:rPr/>
            </w:pPr>
            <w:r>
              <w:rPr/>
              <w:t> </w:t>
            </w:r>
          </w:p>
        </w:tc>
      </w:tr>
      <w:tr>
        <w:trPr/>
        <w:tc>
          <w:tcPr>
            <w:tcW w:w="6919"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exercise of 2018 PIPE Warrants</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7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193"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1" w:type="dxa"/>
            <w:tcBorders/>
            <w:shd w:fill="CFF0FC" w:val="clear"/>
            <w:vAlign w:val="center"/>
          </w:tcPr>
          <w:p>
            <w:pPr>
              <w:pStyle w:val="TableContents"/>
              <w:bidi w:val="0"/>
              <w:spacing w:before="0" w:after="283"/>
              <w:jc w:val="right"/>
              <w:rPr>
                <w:color w:val="000000"/>
              </w:rPr>
            </w:pPr>
            <w:r>
              <w:rPr>
                <w:color w:val="000000"/>
              </w:rPr>
              <w:t>—</w:t>
            </w:r>
          </w:p>
        </w:tc>
        <w:tc>
          <w:tcPr>
            <w:tcW w:w="798"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December 31,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2" w:name="notes_to_consolidated_financial_statemen"/>
      <w:bookmarkEnd w:id="22"/>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Note 1.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orphan designation for the treatment of PWS in the United States (U.S.) as well as in the European Union (E.U.).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pStyle w:val="TextBody"/>
        <w:bidi w:val="0"/>
        <w:spacing w:before="360" w:after="283"/>
        <w:jc w:val="left"/>
        <w:rPr>
          <w:rFonts w:ascii="Times New Roman" w:hAnsi="Times New Roman"/>
          <w:sz w:val="20"/>
        </w:rPr>
      </w:pPr>
      <w:r>
        <w:rPr>
          <w:rFonts w:ascii="Times New Roman" w:hAnsi="Times New Roman"/>
          <w:b/>
          <w:color w:val="000000"/>
          <w:sz w:val="20"/>
        </w:rPr>
        <w:t>Note 2.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had a net loss of $39.0 million during 2023 and has an accumulated deficit of $276.4 million at December 31, 2023 resulting from having incurred losses since its inception. The Company had $169.7 million of cash and cash equivalents on hand at December 31, 2023 and used $24.9 million of cash in its operating activities during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financed its operations principally through issuance of equity securities. On October 2, 2023, the Company closed a public and concurrent private financing with gross proceeds of $129.0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2022, the Company entered into a Securities Purchase Agreement providing for the sale of up to $60.0 million in warrants (Tranche A and Tranche B) and the common stock issuable upon the exercise thereof. The Company completed the closing of the sale and issued both tranches of warrants for $10.0 million in May 2023. The announcement of positive top-line data from the randomized withdrawal period of Study C602 triggered the mandatory exercise of the Tranche A warrants, and as of December 31, 2023, the Company had received $15.0 million. Certain investors exercised their Tranche B warrants and the Company has received $18.1 million as of December 31, 2023. The receipt of the exercise price of the remaining Tranche B warrants for up to $16.9 million is contingent upon the exercise of such warrants. The Company also received $9.3 million in gross proceeds from the exercise of certain March 2022 warrants during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expects to continue incurring losses for the foreseeable future. However, the Company expects that its current cash and cash equivalents balances will be sufficient to enable the Company to meet its obligations for at least the next twelve months from the date of this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U.S. generally accepted accounting principles (GAAP), and the applicable rules and regulations of the Securities and Exchange Commission (SEC). Certain reclassifications on the consolidated statements of cash flows have been made to conform to current period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wholly-owned subsidiaries. All intercompany transactions and balances have been eliminated in consolidation.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2022, the stockholders of the Company approved a reverse stock split of its common stock at a ratio of one-for-fifteen, to be effected at the sole discretion of the Company’s Board of Directors as described in the proxy statement filed with the SEC on April 21, 2022. The implementation of the reverse stock split was approved by the Company’s Board of Directors on August 16,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26, 2022, the Company filed a certificate of amendment to its amended and restated certificate of incorporation in order to effectuate a reverse stock split of the Company’s issued and outstanding common stock on a one-for-fifteen basis. All common share and per share data are retrospectively restated to give effect of the split for all periods presented herein. After giving effect to the reverse stock split, the total number of shares of all classes of capital stock that the Corporation is authorized to issue is 110,000,000 shares, consisting of 100,000,000 shares of common stock, having a par value of $0.001 and 10,000,000 shares of preferred stock, having a par value of $0.001.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a concentration of credit risk consist of cash and cash equivalents at U.S. banking institutions. At December 31, 2023, the majority of the Company’s funds were invested with two separate financial institutions and at times these balances may exceed the federally-insured limits. Operating cash in excess of federally-insured limits is custodied at a separate financial institution with an overnight sweep feature into a U.S. government money market fund. As of December 31, 2022, the Company’s funds were invested in one financial institution which at times may exceed the federally insured limit.</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in one segment. Management uses one measurement of profitability and does not segregate its business for internal reporting, making operating decisions, and assessing financial performance. All long-lived assets are maintained in the U.S.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including its money market funds, purchased with an original maturity of three months or less to be cash equivalents. The Company’s cash and cash equivalents are held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primarily in institutions in the U.S. and include deposits in a money market funds which were unrestricted as to withdrawal or use. </w:t>
      </w:r>
    </w:p>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 of payments primarily related to clinical trials, insurance and short-term deposits. Prepaid expenses are initially recorded upon payment and are expensed as goods or services are received.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a lease at inception. Specifically, it considers whether it controls the underlying asset and has the right to obtain substantially all the economic benefits or outputs from the asset. If the contractual arrangement contains a lease, the Company then determines whether it is an operating or finance lease. Right-of-Use (ROU) assets represent the Company’s right to use an underlying asset for the lease term and lease liabilities represent the Company’s obligation to make lease payments arising from the lease. ROU assets and lease liabilities are recognized at commencement date based on the present value of lease payments over the lease term. Lease expense for operating lease payments is recognized on a straight-line basis over the lease term. Finance lease classification results in a front-loaded expense recognition pattern over the lease term as it recognizes interest expense and amortization expense as separate components of lease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separate lease components from non-lease components for all classes of underlying assets, and instead accounts for the lease and non-lease components as a single component. Variable lease payments are recognized as they are incurred and primarily include common area maintenance, utilities, real estate taxes, insurance and other operating costs that are passed on from the lessor in proportion to the space leased by the Company. The Company does not recognize lease assets and lease liabilities for leases with an original lease term of less than one year.</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and the fair value of the assets.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2017, the Company completed the acquisition of Essentialis in accordance with the merger agreement by and between the Company and Essentialis dated December 22, 2016 (the “Merger Agreement”). The merger transaction was accounted for as an asset acquisition under the acquisition method of accounting and accordingly, the value of $22.0 million was assigned to the identifiable intangible asset relating to the patent for DCCR, which patent expires in June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with finite lives are amortized on a straight-line basis over their estimated useful lives, which for the patent is 11 years. The useful life of the intangible asset is evaluated each reporting period to determine whether events and circumstances warrant a revision to the remaining useful 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charged to operations as incurred. Research and development costs consist primarily of salaries, benefits, bonus, share-based compensation, consultant fees, certain facility costs and other costs associated with clinical trials. Clinical trial costs are a significant component of research and development expenses and include costs associated with third-party contractors and other vendors. Invoicing from third-party contractors for services performed can often occur several months later. The Company accrues the costs incurred for clinical trial activities as measured by patient progression and the timing of various aspects of the trial. For other services the Company accrues the costs in connection with third-party contractor activities based on its estimate of fees and costs associate with the contract that were rendered during the period and they are expensed as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acquire technologies to be used in research and development that have not reached technological feasibility and have no alternative future use are expensed to research and development costs when incurred.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the value of contingent future consideration to be paid for the acquisition of Essentialis as a liability in March 2017 at the date of the acquisition. The changes in value of the liability for the contingent consideration since the acquisition date are recorded as operating expense in the consolidated statements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 Purchase Warrants and Other Derivative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equity and liabilities is required. The Company determined that certain freestanding derivatives, which principally consist of 2018 PIPE Warrants, do not satisfy the criteria for classification as equity instruments due to the existence of certain cash settlement features that are not within the sole control of the Company or variable settlement provision that cause them to not be indexed to the Company’s own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classified the 2018 PIPE Warrants at their fair value and re-measured them at each balance sheet date until they were exercised or expired. Any changes in the fair value were recognized as Other income (expense) in the consolidated statements of operations. The 2018 PIPE Warrants expired in December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costs related to stock options and restricted stock units granted to employees, nonemployees and directors are measured at the date of grant based on the estimated fair value of the award. For restricted stock units this fair value is based on the Company’s common stock price on the grant date. The Company estimates the grant date fair value of stock options, and the resulting stock-based compensation expense, using the Black-Scholes option-pricing model. The grant date fair value of stock-based awards is recognized on a straight-line basis over the requisite service period, which is generally the vesting period for service-based awards. For performance-based awards the requisite service period is the longest explicit, implicit or derived service period based on management’s estimate of the probability of the performance criteria being satisfied, adjusted at each balance sheet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If the Company had made different assumptions, its stock-based compensation expense, net loss and net loss per share of common stock could have been significantly different. These assumptions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We calculated the estimated volatility rate for stock options granted based on the volatility of our common stock for a historical period equal to the expected life of the stock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life:</w:t>
      </w:r>
      <w:r>
        <w:rPr>
          <w:rFonts w:ascii="Times New Roman" w:hAnsi="Times New Roman"/>
          <w:color w:val="000000"/>
          <w:sz w:val="20"/>
        </w:rPr>
        <w:t xml:space="preserve"> Due to the lack of historical exercise history, the expected life of the Company’s service-based stock options is determined utilizing the “simplified method”, based on the average of the contractual term of the options and the weighted-average vesting period. The expected life for performance-based options is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Risk-free rate:</w:t>
      </w:r>
      <w:r>
        <w:rPr>
          <w:rFonts w:ascii="Times New Roman" w:hAnsi="Times New Roman"/>
          <w:color w:val="000000"/>
          <w:sz w:val="20"/>
        </w:rPr>
        <w:t xml:space="preserve"> The risk-free interest rate is based on the yields of U.S. Treasury securities with maturities similar to the expected time to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divided yield:</w:t>
      </w:r>
      <w:r>
        <w:rPr>
          <w:rFonts w:ascii="Times New Roman" w:hAnsi="Times New Roman"/>
          <w:color w:val="000000"/>
          <w:sz w:val="20"/>
        </w:rPr>
        <w:t xml:space="preserve"> The Company has never declared or paid any cash dividends and does not presently plan to pay cash dividends in the foreseeable future. Consequently, it used an expected dividend yield of zero.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forfeitures as they occur.</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w:t>
      </w:r>
      <w:r>
        <w:rPr>
          <w:rFonts w:ascii="Times New Roman" w:hAnsi="Times New Roman"/>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Improvements to Income Tax Disclosures, which amends the guidance in ASC 740, Income Taxes.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and the Company will adopt this ASU on a prospective basis. The Company is currently evaluating the impact of adopting this ASU on its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2016, the FASB issued ASU No. 2016-13, Financial Instruments - Credit Losses (Topic 326): Measurement of Credit Losses of Financial Instruments, which, together with subsequent amendments, amends the requirement on the measurement and recognition of expected credit losses for financial assets held. ASU 2016-13 is effective for the Company for the annual periods beginning after December 15, 2022, including interim periods within those fiscal years, with early adoption permitted. The Company adopted this ASU effective January 1, 2023. There was no impact on the Company's financial statements upon the adoption of this ASU.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the Company’s cash, cash equivalents and accounts payable, approximate fair value due to the short-term nature of these items.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hierarchy defines a three-level valuation hierarchy for disclosure of fair value measurements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 —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III — Unobservable inputs that are supported by little or no market activity for the related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categorization of a financial instrument within the valuation hierarchy is based upon the lowest level of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Company’s financial instruments that were measured at fair value on a recurring basis by level within the fair value hierarchy (in thousands): </w:t>
      </w:r>
    </w:p>
    <w:p>
      <w:pPr>
        <w:pStyle w:val="TextBody"/>
        <w:bidi w:val="0"/>
        <w:jc w:val="left"/>
        <w:rPr/>
      </w:pPr>
      <w:r>
        <w:rPr/>
        <w:t> </w:t>
      </w:r>
    </w:p>
    <w:tbl>
      <w:tblPr>
        <w:tblW w:w="8373" w:type="dxa"/>
        <w:jc w:val="left"/>
        <w:tblInd w:w="0" w:type="dxa"/>
        <w:tblLayout w:type="fixed"/>
        <w:tblCellMar>
          <w:top w:w="28" w:type="dxa"/>
          <w:left w:w="28" w:type="dxa"/>
          <w:bottom w:w="28" w:type="dxa"/>
          <w:right w:w="28" w:type="dxa"/>
        </w:tblCellMar>
      </w:tblPr>
      <w:tblGrid>
        <w:gridCol w:w="3976"/>
        <w:gridCol w:w="146"/>
        <w:gridCol w:w="223"/>
        <w:gridCol w:w="715"/>
        <w:gridCol w:w="154"/>
        <w:gridCol w:w="154"/>
        <w:gridCol w:w="352"/>
        <w:gridCol w:w="278"/>
        <w:gridCol w:w="154"/>
        <w:gridCol w:w="154"/>
        <w:gridCol w:w="352"/>
        <w:gridCol w:w="278"/>
        <w:gridCol w:w="154"/>
        <w:gridCol w:w="154"/>
        <w:gridCol w:w="223"/>
        <w:gridCol w:w="715"/>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37" w:type="dxa"/>
        <w:jc w:val="left"/>
        <w:tblInd w:w="0" w:type="dxa"/>
        <w:tblLayout w:type="fixed"/>
        <w:tblCellMar>
          <w:top w:w="28" w:type="dxa"/>
          <w:left w:w="28" w:type="dxa"/>
          <w:bottom w:w="28" w:type="dxa"/>
          <w:right w:w="28" w:type="dxa"/>
        </w:tblCellMar>
      </w:tblPr>
      <w:tblGrid>
        <w:gridCol w:w="3976"/>
        <w:gridCol w:w="146"/>
        <w:gridCol w:w="213"/>
        <w:gridCol w:w="578"/>
        <w:gridCol w:w="147"/>
        <w:gridCol w:w="147"/>
        <w:gridCol w:w="238"/>
        <w:gridCol w:w="392"/>
        <w:gridCol w:w="147"/>
        <w:gridCol w:w="147"/>
        <w:gridCol w:w="238"/>
        <w:gridCol w:w="392"/>
        <w:gridCol w:w="147"/>
        <w:gridCol w:w="147"/>
        <w:gridCol w:w="213"/>
        <w:gridCol w:w="578"/>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79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PIPE Warrant liability</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vAlign w:val="center"/>
          </w:tcPr>
          <w:p>
            <w:pPr>
              <w:pStyle w:val="TableContents"/>
              <w:bidi w:val="0"/>
              <w:spacing w:before="0" w:after="283"/>
              <w:jc w:val="right"/>
              <w:rPr>
                <w:color w:val="000000"/>
              </w:rPr>
            </w:pPr>
            <w:r>
              <w:rPr>
                <w:color w:val="000000"/>
              </w:rPr>
              <w:t>—</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common stock warrant and contingent</w:t>
              <w:br/>
              <w:t>  consideration liability</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The 2018 PIPE Warrants expired on December 21, 2023.</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Based on the terms of the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and a 72% probability of achieving all three milestones was determined to be reasonable as of December 31, 2023 and December 31, 2022, respectively. During the periods presented, the Company has not changed the manner in which it values its Essentialis purchase price contingent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transfers between levels of the fair value hierarchy as of the end of the reporting period. There were no transfers within the hierarchy during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changes in the fair value of the Company’s Level 3 assets and liabilities (dollars in thousands): </w:t>
      </w:r>
    </w:p>
    <w:p>
      <w:pPr>
        <w:pStyle w:val="TextBody"/>
        <w:bidi w:val="0"/>
        <w:jc w:val="both"/>
        <w:rPr/>
      </w:pPr>
      <w:r>
        <w:rPr/>
        <w:t> </w:t>
      </w:r>
    </w:p>
    <w:tbl>
      <w:tblPr>
        <w:tblW w:w="7103" w:type="dxa"/>
        <w:jc w:val="left"/>
        <w:tblInd w:w="0" w:type="dxa"/>
        <w:tblLayout w:type="fixed"/>
        <w:tblCellMar>
          <w:top w:w="28" w:type="dxa"/>
          <w:left w:w="28" w:type="dxa"/>
          <w:bottom w:w="28" w:type="dxa"/>
          <w:right w:w="28" w:type="dxa"/>
        </w:tblCellMar>
      </w:tblPr>
      <w:tblGrid>
        <w:gridCol w:w="3331"/>
        <w:gridCol w:w="146"/>
        <w:gridCol w:w="146"/>
        <w:gridCol w:w="739"/>
        <w:gridCol w:w="166"/>
        <w:gridCol w:w="146"/>
        <w:gridCol w:w="219"/>
        <w:gridCol w:w="502"/>
        <w:gridCol w:w="166"/>
        <w:gridCol w:w="146"/>
        <w:gridCol w:w="282"/>
        <w:gridCol w:w="903"/>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 PIPE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9,547</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2018 PIPE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2018 PIPE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2018 PIPE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Expiration of 2018 PIPE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5. Other Financial Statement Details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summarized in the following table (in thousands): </w:t>
      </w:r>
    </w:p>
    <w:tbl>
      <w:tblPr>
        <w:tblW w:w="6910" w:type="dxa"/>
        <w:jc w:val="left"/>
        <w:tblInd w:w="0" w:type="dxa"/>
        <w:tblLayout w:type="fixed"/>
        <w:tblCellMar>
          <w:top w:w="28" w:type="dxa"/>
          <w:left w:w="28" w:type="dxa"/>
          <w:bottom w:w="28" w:type="dxa"/>
          <w:right w:w="28" w:type="dxa"/>
        </w:tblCellMar>
      </w:tblPr>
      <w:tblGrid>
        <w:gridCol w:w="4051"/>
        <w:gridCol w:w="146"/>
        <w:gridCol w:w="364"/>
        <w:gridCol w:w="731"/>
        <w:gridCol w:w="166"/>
        <w:gridCol w:w="146"/>
        <w:gridCol w:w="364"/>
        <w:gridCol w:w="73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approximately $14 thousand and $20 thousand for the years ended December 31, 2023 and December 31, 2022, respectively.</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assets consist of the following (in thousands): </w:t>
      </w:r>
    </w:p>
    <w:p>
      <w:pPr>
        <w:pStyle w:val="TextBody"/>
        <w:bidi w:val="0"/>
        <w:jc w:val="left"/>
        <w:rPr/>
      </w:pPr>
      <w:r>
        <w:rPr/>
        <w:t> </w:t>
      </w:r>
    </w:p>
    <w:tbl>
      <w:tblPr>
        <w:tblW w:w="8913" w:type="dxa"/>
        <w:jc w:val="left"/>
        <w:tblInd w:w="0" w:type="dxa"/>
        <w:tblLayout w:type="fixed"/>
        <w:tblCellMar>
          <w:top w:w="28" w:type="dxa"/>
          <w:left w:w="28" w:type="dxa"/>
          <w:bottom w:w="28" w:type="dxa"/>
          <w:right w:w="28" w:type="dxa"/>
        </w:tblCellMar>
      </w:tblPr>
      <w:tblGrid>
        <w:gridCol w:w="1816"/>
        <w:gridCol w:w="146"/>
        <w:gridCol w:w="196"/>
        <w:gridCol w:w="601"/>
        <w:gridCol w:w="146"/>
        <w:gridCol w:w="146"/>
        <w:gridCol w:w="247"/>
        <w:gridCol w:w="834"/>
        <w:gridCol w:w="166"/>
        <w:gridCol w:w="146"/>
        <w:gridCol w:w="196"/>
        <w:gridCol w:w="511"/>
        <w:gridCol w:w="146"/>
        <w:gridCol w:w="146"/>
        <w:gridCol w:w="196"/>
        <w:gridCol w:w="601"/>
        <w:gridCol w:w="146"/>
        <w:gridCol w:w="146"/>
        <w:gridCol w:w="247"/>
        <w:gridCol w:w="834"/>
        <w:gridCol w:w="166"/>
        <w:gridCol w:w="146"/>
        <w:gridCol w:w="196"/>
        <w:gridCol w:w="601"/>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Patents and merger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10,693</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Future amortization expense for intangible assets over their remaining useful lives is as follows (in thousands): </w:t>
      </w:r>
    </w:p>
    <w:p>
      <w:pPr>
        <w:pStyle w:val="TextBody"/>
        <w:bidi w:val="0"/>
        <w:jc w:val="left"/>
        <w:rPr/>
      </w:pPr>
      <w:r>
        <w:rPr/>
        <w:t> </w:t>
      </w:r>
    </w:p>
    <w:tbl>
      <w:tblPr>
        <w:tblW w:w="3293" w:type="dxa"/>
        <w:jc w:val="left"/>
        <w:tblInd w:w="0" w:type="dxa"/>
        <w:tblLayout w:type="fixed"/>
        <w:tblCellMar>
          <w:top w:w="28" w:type="dxa"/>
          <w:left w:w="28" w:type="dxa"/>
          <w:bottom w:w="28" w:type="dxa"/>
          <w:right w:w="28" w:type="dxa"/>
        </w:tblCellMar>
      </w:tblPr>
      <w:tblGrid>
        <w:gridCol w:w="1996"/>
        <w:gridCol w:w="146"/>
        <w:gridCol w:w="259"/>
        <w:gridCol w:w="70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Patents and</w:t>
              <w:br/>
              <w:t>trademarks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7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and thereafter</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was $1.9 million for the year ended December 31, 2023 and 2022.</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issued multiple warrant series, of which the 2018 PIPE Warrants were determined to be liabilities pursuant to the guidance established by </w:t>
      </w:r>
      <w:r>
        <w:rPr>
          <w:rFonts w:ascii="Times New Roman" w:hAnsi="Times New Roman"/>
          <w:i/>
          <w:color w:val="000000"/>
          <w:sz w:val="20"/>
        </w:rPr>
        <w:t>ASC 815 Derivatives and Hedging.</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Warrants Issued as Part of the Units in the 2018 PIPE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 change of control of the Company, the holders of unexercised warrants had the option to present their unexercised warrants to the Company, or its successor, to be purchased by the Company, or its successor, in an amount equal to the per share value determined by the Black-Scholes methodology.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may have been obligated to settle the 2018 PIPE Warrants in cash, the Company classified the 2018 PIPE Warrants as long-term liabilities at their fair value and re-measured the warrants at each balance sheet date until they were exercised or expire. Any change in the fair value is recognized as Other income (expense) in the Company’s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2018 PIPE Warrants outstanding at December 31, 2023 as the warrants were either exercised or expired, and the Company estimated the fair value of the liability for the 2018 PIPE Warrants at approximately $1 thousand at December 31, 2022. During 2023, 21,789 2018 PIPE Warrants were exercised for net proceeds of $0.2 million, and the Company issued 9,683 shares of common stock. The remaining 12,452 2018 PIPE Warrants expired. The increase of $0.2 million and the decrease of $30 thousand in the fair value of the liability for the 2018 PIPE Warrants during the years ended December 31, 2023 and 2022, respectively, was recorded as Other income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calculated the fair value of the 2018 PIPE Warrants using a Black-Scholes option-pricing model. The following summarizes certain key assumptions used in estimating the fair values:</w:t>
      </w:r>
    </w:p>
    <w:p>
      <w:pPr>
        <w:pStyle w:val="TextBody"/>
        <w:bidi w:val="0"/>
        <w:jc w:val="left"/>
        <w:rPr/>
      </w:pPr>
      <w:r>
        <w:rPr/>
        <w:t> </w:t>
      </w:r>
    </w:p>
    <w:tbl>
      <w:tblPr>
        <w:tblW w:w="3688" w:type="dxa"/>
        <w:jc w:val="left"/>
        <w:tblInd w:w="0" w:type="dxa"/>
        <w:tblLayout w:type="fixed"/>
        <w:tblCellMar>
          <w:top w:w="28" w:type="dxa"/>
          <w:left w:w="28" w:type="dxa"/>
          <w:bottom w:w="28" w:type="dxa"/>
          <w:right w:w="28" w:type="dxa"/>
        </w:tblCellMar>
      </w:tblPr>
      <w:tblGrid>
        <w:gridCol w:w="2131"/>
        <w:gridCol w:w="146"/>
        <w:gridCol w:w="261"/>
        <w:gridCol w:w="834"/>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Black-Scholes option-pricing model requires the use of highly subjective assumptions to estimate the fair value of stock-based awards. These assumptions include the following estimates: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 xml:space="preserve">The Company calculated the estimated volatility rate based on its historical volatility of the warrants.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Contractual term:</w:t>
      </w:r>
      <w:r>
        <w:rPr>
          <w:color w:val="000000"/>
        </w:rPr>
        <w:t xml:space="preserve"> </w:t>
      </w:r>
      <w:r>
        <w:rPr>
          <w:rFonts w:ascii="Times New Roman" w:hAnsi="Times New Roman"/>
          <w:color w:val="000000"/>
          <w:sz w:val="20"/>
        </w:rPr>
        <w:t>The expected life of the warrants, which is based on the contractual term of the warrants.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color w:val="000000"/>
        </w:rPr>
        <w:t xml:space="preserve"> </w:t>
      </w:r>
      <w:r>
        <w:rPr>
          <w:rFonts w:ascii="Times New Roman" w:hAnsi="Times New Roman"/>
          <w:color w:val="000000"/>
          <w:sz w:val="20"/>
        </w:rPr>
        <w:t>The Company has never declared or paid any cash dividends and does not currently plan to pay cash dividends in the foreseeable future. Consequently, the Company used an expected dividend yield of zero.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rate:</w:t>
      </w:r>
      <w:r>
        <w:rPr>
          <w:color w:val="000000"/>
        </w:rPr>
        <w:t xml:space="preserve"> </w:t>
      </w:r>
      <w:r>
        <w:rPr>
          <w:rFonts w:ascii="Times New Roman" w:hAnsi="Times New Roman"/>
          <w:color w:val="000000"/>
          <w:sz w:val="20"/>
        </w:rPr>
        <w:t>The risk-free interest rate is based on the U.S. Treasury rate for similar periods as the expected life of the warrants.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7.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operating lease for its headquarters facility office space in Redwood City, California began in June 2021 and expired in May 2023. In April 2023, the Company entered into a twenty-four month lease extension commencing on June 1, 2023. The term of the lease extension expires in May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operating lease ROU assets, current operating lease liabilities and long-term operating lease liabilities each appear as a separate line within the Company’s consolidated balance sheet. As of December 31, 2023 and December 31, 2022, the Company’s short-term liabilities were equal to $0.3 million and $0.2 million, respectively, and the long-term operating lease liabilities were equal to $0.1 million as of December 31, 2023. There were no long-term operating lease liabilities as of December 31,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an increase to its right-of-use asset by $0.6 million and an increase to its lease liability by $0.6 million as a result of the lease extension. The weighted average discount rate related to the Company’s lease liabilities was 8.25% as of December 31, 2023 over a remaining term of 17 months, and 9% as of December 31, 2022 over the remaining term of 5 months. The discount rates were determined based on estimates of the Company's incremental borrowing rate, as the discount rates implicit in the Company’s leases cannot be readily determined.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were as follows (in thousands):</w:t>
      </w:r>
    </w:p>
    <w:p>
      <w:pPr>
        <w:pStyle w:val="TextBody"/>
        <w:bidi w:val="0"/>
        <w:spacing w:before="120" w:after="283"/>
        <w:jc w:val="left"/>
        <w:rPr/>
      </w:pPr>
      <w:r>
        <w:rPr/>
        <w:t> </w:t>
      </w:r>
    </w:p>
    <w:tbl>
      <w:tblPr>
        <w:tblW w:w="5225" w:type="dxa"/>
        <w:jc w:val="left"/>
        <w:tblInd w:w="0" w:type="dxa"/>
        <w:tblLayout w:type="fixed"/>
        <w:tblCellMar>
          <w:top w:w="28" w:type="dxa"/>
          <w:left w:w="28" w:type="dxa"/>
          <w:bottom w:w="28" w:type="dxa"/>
          <w:right w:w="28" w:type="dxa"/>
        </w:tblCellMar>
      </w:tblPr>
      <w:tblGrid>
        <w:gridCol w:w="2206"/>
        <w:gridCol w:w="146"/>
        <w:gridCol w:w="364"/>
        <w:gridCol w:w="731"/>
        <w:gridCol w:w="146"/>
        <w:gridCol w:w="146"/>
        <w:gridCol w:w="364"/>
        <w:gridCol w:w="731"/>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p>
      <w:pPr>
        <w:pStyle w:val="TextBody"/>
        <w:bidi w:val="0"/>
        <w:spacing w:before="120" w:after="283"/>
        <w:jc w:val="left"/>
        <w:rPr/>
      </w:pPr>
      <w:r>
        <w:rPr/>
        <w:t> </w:t>
      </w:r>
    </w:p>
    <w:tbl>
      <w:tblPr>
        <w:tblW w:w="8885" w:type="dxa"/>
        <w:jc w:val="left"/>
        <w:tblInd w:w="0" w:type="dxa"/>
        <w:tblLayout w:type="fixed"/>
        <w:tblCellMar>
          <w:top w:w="28" w:type="dxa"/>
          <w:left w:w="28" w:type="dxa"/>
          <w:bottom w:w="28" w:type="dxa"/>
          <w:right w:w="28" w:type="dxa"/>
        </w:tblCellMar>
      </w:tblPr>
      <w:tblGrid>
        <w:gridCol w:w="5866"/>
        <w:gridCol w:w="146"/>
        <w:gridCol w:w="364"/>
        <w:gridCol w:w="731"/>
        <w:gridCol w:w="146"/>
        <w:gridCol w:w="146"/>
        <w:gridCol w:w="364"/>
        <w:gridCol w:w="731"/>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8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91" w:type="dxa"/>
            <w:tcBorders/>
            <w:shd w:fill="FFFFFF" w:val="cle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following is a schedule by year of future maturities of the Company’s operating lease liabilities as of December 31, 2023 (in thousands):</w:t>
      </w:r>
    </w:p>
    <w:p>
      <w:pPr>
        <w:pStyle w:val="TextBody"/>
        <w:bidi w:val="0"/>
        <w:jc w:val="left"/>
        <w:rPr/>
      </w:pPr>
      <w:r>
        <w:rPr/>
        <w:t> </w:t>
      </w:r>
    </w:p>
    <w:tbl>
      <w:tblPr>
        <w:tblW w:w="3220" w:type="dxa"/>
        <w:jc w:val="left"/>
        <w:tblInd w:w="0" w:type="dxa"/>
        <w:tblLayout w:type="fixed"/>
        <w:tblCellMar>
          <w:top w:w="28" w:type="dxa"/>
          <w:left w:w="28" w:type="dxa"/>
          <w:bottom w:w="28" w:type="dxa"/>
          <w:right w:w="28" w:type="dxa"/>
        </w:tblCellMar>
      </w:tblPr>
      <w:tblGrid>
        <w:gridCol w:w="2031"/>
        <w:gridCol w:w="146"/>
        <w:gridCol w:w="211"/>
        <w:gridCol w:w="421"/>
        <w:gridCol w:w="41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41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pStyle w:val="TextBody"/>
        <w:bidi w:val="0"/>
        <w:spacing w:before="480" w:after="283"/>
        <w:jc w:val="left"/>
        <w:rPr>
          <w:rFonts w:ascii="Times New Roman" w:hAnsi="Times New Roman"/>
          <w:sz w:val="20"/>
        </w:rPr>
      </w:pPr>
      <w:r>
        <w:rPr>
          <w:rFonts w:ascii="Times New Roman" w:hAnsi="Times New Roman"/>
          <w:b/>
          <w:color w:val="000000"/>
          <w:sz w:val="20"/>
        </w:rPr>
        <w:t>Note 9.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Public Offering of Common Stock and Concurrent Private Placement of Common Stock and Pre-Funded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warrants were separated into two tranches with 8,598,870 Tranche A warrants with an exercise price of $1.75 and aggregate proceeds of up to approximately $15.0 million, and 14,000,000 Tranche B warrants with an exercise price of $2.50 and aggregate proceeds of up to $35.0 million. The Tranche A warrants were immediately exercisable and were required to be exercised within 30 days of announcement of positive top-line data from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During 2023, certain investors exercised their Tranche B warrants and the Company received $18.1 million. The receipt of the aggregate exercise price of up to $16.9 million for the remaining Tranche B warrants is contingent upon the exercise of such warrants.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Underwritten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2022, the Company sold 2,666,667 shares of its common stock at a public offering price of $3.75, and for certain investors, in lieu of common stock, pre-funded warrants (the March 2022 pre-funded warrants) to purchase 1,333,333 shares of its common stock at a public offering price $3.60 per pre-funded warrant, which represents the per share public offering price for the common stock less the $0.15 per share exercise price for each March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2,070,934 March 2022 warrants were exercised for gross proceeds of $9.3 million and all 1,280,965 March 2022 pre-funded warrants were exercised using the cashless exercise option with no additional proceeds received by the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At the Market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Rule 415 under the Securities Act of 1933, as amended. As of December 31, 2023, the Company has sold 1,877,170 shares of common stock through the at the market program, totaling $7.4 million in net proceeds. The Controlled Equity Offering Sales Agreement was terminated in connection with the October 2, 2023 financing.</w:t>
      </w:r>
    </w:p>
    <w:p>
      <w:pPr>
        <w:pStyle w:val="TextBody"/>
        <w:bidi w:val="0"/>
        <w:spacing w:before="240" w:after="283"/>
        <w:jc w:val="left"/>
        <w:rPr>
          <w:rFonts w:ascii="Times New Roman" w:hAnsi="Times New Roman"/>
          <w:sz w:val="20"/>
        </w:rPr>
      </w:pPr>
      <w:r>
        <w:rPr>
          <w:rFonts w:ascii="Times New Roman" w:hAnsi="Times New Roman"/>
          <w:b/>
          <w:i/>
          <w:color w:val="000000"/>
          <w:sz w:val="20"/>
        </w:rPr>
        <w:t>Other 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Company had 6,804 common stock warrants outstanding from the 2010/2012 convertible notes, with an exercise price of $365.25 and expire in November 2024. The Company also had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outstanding 1,100 common stock warrants issued to the underwriter in the Company’s IPO, with an exercise price of $535.50 and a term of 10 years, expiring in November 2024. </w:t>
      </w:r>
    </w:p>
    <w:p>
      <w:pPr>
        <w:pStyle w:val="TextBody"/>
        <w:bidi w:val="0"/>
        <w:spacing w:before="120" w:after="60"/>
        <w:jc w:val="left"/>
        <w:rPr>
          <w:rFonts w:ascii="Times New Roman" w:hAnsi="Times New Roman"/>
          <w:color w:val="000000"/>
          <w:sz w:val="20"/>
        </w:rPr>
      </w:pPr>
      <w:r>
        <w:rPr>
          <w:rFonts w:ascii="Times New Roman" w:hAnsi="Times New Roman"/>
          <w:color w:val="000000"/>
          <w:sz w:val="20"/>
        </w:rPr>
        <w:t>As of December 31, 2023 and December 31, 2022, the following table summarizes the Company's outstanding common stock warrants:</w:t>
      </w:r>
    </w:p>
    <w:tbl>
      <w:tblPr>
        <w:tblW w:w="10205" w:type="dxa"/>
        <w:jc w:val="left"/>
        <w:tblInd w:w="0" w:type="dxa"/>
        <w:tblLayout w:type="fixed"/>
        <w:tblCellMar>
          <w:top w:w="28" w:type="dxa"/>
          <w:left w:w="28" w:type="dxa"/>
          <w:bottom w:w="28" w:type="dxa"/>
          <w:right w:w="28" w:type="dxa"/>
        </w:tblCellMar>
      </w:tblPr>
      <w:tblGrid>
        <w:gridCol w:w="1637"/>
        <w:gridCol w:w="146"/>
        <w:gridCol w:w="196"/>
        <w:gridCol w:w="1396"/>
        <w:gridCol w:w="146"/>
        <w:gridCol w:w="146"/>
        <w:gridCol w:w="354"/>
        <w:gridCol w:w="1136"/>
        <w:gridCol w:w="146"/>
        <w:gridCol w:w="146"/>
        <w:gridCol w:w="205"/>
        <w:gridCol w:w="1309"/>
        <w:gridCol w:w="146"/>
        <w:gridCol w:w="146"/>
        <w:gridCol w:w="354"/>
        <w:gridCol w:w="1136"/>
        <w:gridCol w:w="146"/>
        <w:gridCol w:w="146"/>
        <w:gridCol w:w="1168"/>
      </w:tblGrid>
      <w:tr>
        <w:trPr/>
        <w:tc>
          <w:tcPr>
            <w:tcW w:w="1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1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2024</w:t>
            </w:r>
          </w:p>
        </w:tc>
      </w:tr>
      <w:tr>
        <w:trPr/>
        <w:tc>
          <w:tcPr>
            <w:tcW w:w="16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PIPE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2023</w:t>
            </w:r>
          </w:p>
        </w:tc>
      </w:tr>
      <w:tr>
        <w:trPr/>
        <w:tc>
          <w:tcPr>
            <w:tcW w:w="1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1,929,066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2027</w:t>
            </w:r>
          </w:p>
        </w:tc>
      </w:tr>
      <w:tr>
        <w:trPr/>
        <w:tc>
          <w:tcPr>
            <w:tcW w:w="16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Pre-funded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2027</w:t>
            </w:r>
          </w:p>
        </w:tc>
      </w:tr>
      <w:tr>
        <w:trPr/>
        <w:tc>
          <w:tcPr>
            <w:tcW w:w="1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r>
      <w:tr>
        <w:trPr/>
        <w:tc>
          <w:tcPr>
            <w:tcW w:w="16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November 2026 </w:t>
            </w:r>
            <w:r>
              <w:rPr>
                <w:rFonts w:ascii="Times New Roman" w:hAnsi="Times New Roman"/>
                <w:color w:val="000000"/>
                <w:sz w:val="13"/>
              </w:rPr>
              <w:t>(1)</w:t>
            </w:r>
          </w:p>
        </w:tc>
      </w:tr>
      <w:tr>
        <w:trPr/>
        <w:tc>
          <w:tcPr>
            <w:tcW w:w="1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warrants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3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shd w:fill="CFF0FC" w:val="clear"/>
            <w:vAlign w:val="center"/>
          </w:tcPr>
          <w:p>
            <w:pPr>
              <w:pStyle w:val="TableContents"/>
              <w:bidi w:val="0"/>
              <w:spacing w:before="0" w:after="283"/>
              <w:jc w:val="left"/>
              <w:rPr/>
            </w:pPr>
            <w:r>
              <w:rPr/>
              <w:t> </w:t>
            </w:r>
          </w:p>
        </w:tc>
        <w:tc>
          <w:tcPr>
            <w:tcW w:w="13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r>
      <w:tr>
        <w:trPr/>
        <w:tc>
          <w:tcPr>
            <w:tcW w:w="16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6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8" w:type="dxa"/>
            <w:tcBorders/>
            <w:shd w:fill="CFF0FC" w:val="clear"/>
            <w:vAlign w:val="center"/>
          </w:tcPr>
          <w:p>
            <w:pPr>
              <w:pStyle w:val="TableContents"/>
              <w:bidi w:val="0"/>
              <w:spacing w:before="0" w:after="283"/>
              <w:jc w:val="center"/>
              <w:rPr/>
            </w:pPr>
            <w:r>
              <w:rPr/>
              <w:t> </w:t>
            </w:r>
          </w:p>
        </w:tc>
      </w:tr>
      <w:tr>
        <w:trPr/>
        <w:tc>
          <w:tcPr>
            <w:tcW w:w="163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Subject to earlier expiration as described above.</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2014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23, 2023, the Company filed a Registration Statement on Form S-8 which registered 238,329 shares available for grant and issuance under the 2014 Plan, all of which became available for grant and issuance under the 2014 Plan on January 1, 2023. On May 25, 2023, the stockholders approved the Amended and Restated 2014 Plan which included an increase of 1.8 million shares available for grant and issuance. As of December 31, 2023, a total of 1,465 shares were available for future grant under the 2014 Plan. </w:t>
      </w:r>
    </w:p>
    <w:p>
      <w:pPr>
        <w:pStyle w:val="TextBody"/>
        <w:bidi w:val="0"/>
        <w:spacing w:before="120" w:after="283"/>
        <w:jc w:val="left"/>
        <w:rPr>
          <w:rFonts w:ascii="Times New Roman" w:hAnsi="Times New Roman"/>
          <w:sz w:val="20"/>
        </w:rPr>
      </w:pPr>
      <w:r>
        <w:rPr>
          <w:rFonts w:ascii="Times New Roman" w:hAnsi="Times New Roman"/>
          <w:b/>
          <w:color w:val="000000"/>
          <w:sz w:val="20"/>
        </w:rPr>
        <w:t>Inducement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Company’s 2014 Equity Incentive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March 23, 2023, the Company filed a Registration Statement on Form S-8 which registered 500,000 shares available for issuance under the Inducement Plan, all of which became available for grant and issuance under the Inducement Plan on February 17,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 total of 445,668 shares were available for future grant under the Inducement Plan.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options and restricted stock units granted to employees, directors and consultants for the years ended December 31, 2023 and 2022 of $5.9 million and $2.5 million, respectively. The compensation expense is allocated on a departmental basis, based on the classification of the option holder. For the year ended December 31, 2023, the total income tax benefit related to stock-based compensation was $1.9 million, however, due to net operating losses and a full valuation allowance, no tax benefit was recognized in the financial statements. The total income tax benefit related to stock-based compensation for the year ended December 31, 2022 was zero.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compensation expense was recognized in the consolidated statements of operations as follows (in thousands): </w:t>
      </w:r>
    </w:p>
    <w:p>
      <w:pPr>
        <w:pStyle w:val="TextBody"/>
        <w:bidi w:val="0"/>
        <w:jc w:val="left"/>
        <w:rPr/>
      </w:pPr>
      <w:r>
        <w:rPr/>
        <w:t> </w:t>
      </w:r>
    </w:p>
    <w:tbl>
      <w:tblPr>
        <w:tblW w:w="5330" w:type="dxa"/>
        <w:jc w:val="left"/>
        <w:tblInd w:w="0" w:type="dxa"/>
        <w:tblLayout w:type="fixed"/>
        <w:tblCellMar>
          <w:top w:w="28" w:type="dxa"/>
          <w:left w:w="28" w:type="dxa"/>
          <w:bottom w:w="28" w:type="dxa"/>
          <w:right w:w="28" w:type="dxa"/>
        </w:tblCellMar>
      </w:tblPr>
      <w:tblGrid>
        <w:gridCol w:w="2311"/>
        <w:gridCol w:w="146"/>
        <w:gridCol w:w="294"/>
        <w:gridCol w:w="801"/>
        <w:gridCol w:w="146"/>
        <w:gridCol w:w="146"/>
        <w:gridCol w:w="294"/>
        <w:gridCol w:w="80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options to purchase 1,821,784 and 283,919 of the Company’s common stock during the years ended December 31, 2023 and 2022, respectively. There were no performance-based options granted in 2023 and 2022, respectively. The fair value of each award granted was estimated on the date of grant using the Black-Scholes option pricing model with the following assumptions: </w:t>
      </w:r>
    </w:p>
    <w:p>
      <w:pPr>
        <w:pStyle w:val="TextBody"/>
        <w:bidi w:val="0"/>
        <w:jc w:val="left"/>
        <w:rPr/>
      </w:pPr>
      <w:r>
        <w:rPr/>
        <w:t> </w:t>
      </w:r>
    </w:p>
    <w:tbl>
      <w:tblPr>
        <w:tblW w:w="4375" w:type="dxa"/>
        <w:jc w:val="left"/>
        <w:tblInd w:w="0" w:type="dxa"/>
        <w:tblLayout w:type="fixed"/>
        <w:tblCellMar>
          <w:top w:w="28" w:type="dxa"/>
          <w:left w:w="28" w:type="dxa"/>
          <w:bottom w:w="28" w:type="dxa"/>
          <w:right w:w="28" w:type="dxa"/>
        </w:tblCellMar>
      </w:tblPr>
      <w:tblGrid>
        <w:gridCol w:w="1846"/>
        <w:gridCol w:w="146"/>
        <w:gridCol w:w="1096"/>
        <w:gridCol w:w="146"/>
        <w:gridCol w:w="11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5.3-6.1</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5.5-6.0</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3.5%-4.5%</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1.7%-3.1%</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98%-122%</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88%-95%</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pPr>
            <w:r>
              <w:rPr>
                <w:color w:val="000000"/>
              </w:rPr>
              <w:t>—  </w:t>
            </w: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These assumptions include the following estimates: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life:</w:t>
      </w:r>
      <w:r>
        <w:rPr>
          <w:color w:val="000000"/>
        </w:rPr>
        <w:t xml:space="preserve"> </w:t>
      </w:r>
      <w:r>
        <w:rPr>
          <w:rFonts w:ascii="Times New Roman" w:hAnsi="Times New Roman"/>
          <w:color w:val="000000"/>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 xml:space="preserve">The risk-free interest rate is based on the yields of U.S. Treasury securities with maturities similar to the expected life of the stock options.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 xml:space="preserve">The estimated volatility rate is based on the volatilities of the Company’s common stock for a historical period equal to the expected life of the stock options.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Dividend rate:</w:t>
      </w:r>
      <w:r>
        <w:rPr>
          <w:color w:val="000000"/>
        </w:rPr>
        <w:t xml:space="preserve"> </w:t>
      </w:r>
      <w:r>
        <w:rPr>
          <w:rFonts w:ascii="Times New Roman" w:hAnsi="Times New Roman"/>
          <w:color w:val="000000"/>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stock option transactions for the years ended December 31, 2023 and 2022 as issued under the 2014 Plan and the Inducement Plan: </w:t>
      </w:r>
    </w:p>
    <w:p>
      <w:pPr>
        <w:pStyle w:val="TextBody"/>
        <w:bidi w:val="0"/>
        <w:jc w:val="left"/>
        <w:rPr/>
      </w:pPr>
      <w:r>
        <w:rPr/>
        <w:t> </w:t>
      </w:r>
    </w:p>
    <w:tbl>
      <w:tblPr>
        <w:tblW w:w="9878" w:type="dxa"/>
        <w:jc w:val="left"/>
        <w:tblInd w:w="0" w:type="dxa"/>
        <w:tblLayout w:type="fixed"/>
        <w:tblCellMar>
          <w:top w:w="28" w:type="dxa"/>
          <w:left w:w="28" w:type="dxa"/>
          <w:bottom w:w="28" w:type="dxa"/>
          <w:right w:w="28" w:type="dxa"/>
        </w:tblCellMar>
      </w:tblPr>
      <w:tblGrid>
        <w:gridCol w:w="3541"/>
        <w:gridCol w:w="146"/>
        <w:gridCol w:w="146"/>
        <w:gridCol w:w="931"/>
        <w:gridCol w:w="166"/>
        <w:gridCol w:w="146"/>
        <w:gridCol w:w="230"/>
        <w:gridCol w:w="626"/>
        <w:gridCol w:w="146"/>
        <w:gridCol w:w="146"/>
        <w:gridCol w:w="236"/>
        <w:gridCol w:w="755"/>
        <w:gridCol w:w="146"/>
        <w:gridCol w:w="146"/>
        <w:gridCol w:w="471"/>
        <w:gridCol w:w="1509"/>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canceled/forfeited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1,821,784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8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canceled/forfeited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8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w:t>
              <w:br/>
              <w: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2,346,707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 date fair value of employee options granted was $5.04 and $2.62 per share for the years ended December 31, 2023 and December 31, 2022, respectively. At December 31, 2023 total unrecognized employee stock-based compensation for options that are expected to vest was $9.1 million, which is expected to be recognized over the weighted-average remaining vesting period of 2.5 years. </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420,710 and 8,965 restricted stock units granted by the Company during the years ended December 31, 2023 and December 31, 2022, respectively, to employees and certain directors. In 2023, 414,710 restricted stock units were granted to employees with a six-month vesting period, and all such restricted stock units vested during 2023. The restricted stock units granted to certain directors in 2022 were 100% vested on the grant date and represent compensation for past board services. The shares were valued based on the Company’s common stock price on the grant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restricted stock unit transactions for the years ended December 31, 2023 and 2022 as issued under the 2014 Plan:</w:t>
      </w:r>
    </w:p>
    <w:tbl>
      <w:tblPr>
        <w:tblW w:w="8745" w:type="dxa"/>
        <w:jc w:val="left"/>
        <w:tblInd w:w="0" w:type="dxa"/>
        <w:tblLayout w:type="fixed"/>
        <w:tblCellMar>
          <w:top w:w="28" w:type="dxa"/>
          <w:left w:w="28" w:type="dxa"/>
          <w:bottom w:w="28" w:type="dxa"/>
          <w:right w:w="28" w:type="dxa"/>
        </w:tblCellMar>
      </w:tblPr>
      <w:tblGrid>
        <w:gridCol w:w="3651"/>
        <w:gridCol w:w="146"/>
        <w:gridCol w:w="253"/>
        <w:gridCol w:w="1457"/>
        <w:gridCol w:w="166"/>
        <w:gridCol w:w="146"/>
        <w:gridCol w:w="683"/>
        <w:gridCol w:w="1852"/>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cancelled/forfeited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4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4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cancelled/forfeited</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grant-date fair value of all restricted stock units granted was $5.49 and $5.33 per share during the year ended December 31, 2023 and 2022, respectively. The fair value of all restricted stock units vested during the year ended December 31, 2023 and 2022 was $12.0 million and $0.1 million, respectively. At December 31, 2023, total unrecognized employee stock-based compensation related to restricted stock units was $0.2 million, which is expected to be recognized over the weighted-average remaining vesting period of 0.2 years.</w:t>
      </w:r>
    </w:p>
    <w:p>
      <w:pPr>
        <w:pStyle w:val="TextBody"/>
        <w:bidi w:val="0"/>
        <w:spacing w:before="360" w:after="283"/>
        <w:jc w:val="left"/>
        <w:rPr>
          <w:rFonts w:ascii="Times New Roman" w:hAnsi="Times New Roman"/>
          <w:sz w:val="20"/>
        </w:rPr>
      </w:pPr>
      <w:r>
        <w:rPr>
          <w:rFonts w:ascii="Times New Roman" w:hAnsi="Times New Roman"/>
          <w:b/>
          <w:i/>
          <w:color w:val="000000"/>
          <w:sz w:val="20"/>
        </w:rPr>
        <w:t>2014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of the outstanding shares of the Company’s common stock on the first day of such year;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3,729</w:t>
      </w:r>
      <w:r>
        <w:rPr>
          <w:color w:val="000000"/>
        </w:rPr>
        <w:t xml:space="preserve"> </w:t>
      </w:r>
      <w:r>
        <w:rPr>
          <w:rFonts w:ascii="Times New Roman" w:hAnsi="Times New Roman"/>
          <w:color w:val="000000"/>
          <w:sz w:val="20"/>
        </w:rPr>
        <w:t xml:space="preserve">shares;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amount as determined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there were no purchases by employees under this plan. </w:t>
      </w:r>
    </w:p>
    <w:p>
      <w:pPr>
        <w:pStyle w:val="TextBody"/>
        <w:bidi w:val="0"/>
        <w:spacing w:before="360" w:after="283"/>
        <w:jc w:val="left"/>
        <w:rPr>
          <w:rFonts w:ascii="Times New Roman" w:hAnsi="Times New Roman"/>
          <w:sz w:val="20"/>
        </w:rPr>
      </w:pPr>
      <w:r>
        <w:rPr>
          <w:rFonts w:ascii="Times New Roman" w:hAnsi="Times New Roman"/>
          <w:b/>
          <w:color w:val="000000"/>
          <w:sz w:val="20"/>
        </w:rPr>
        <w:t>Note 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geographical distribution of loss before income taxes are summarized below (in thousands): </w:t>
      </w:r>
    </w:p>
    <w:p>
      <w:pPr>
        <w:pStyle w:val="TextBody"/>
        <w:bidi w:val="0"/>
        <w:jc w:val="left"/>
        <w:rPr/>
      </w:pPr>
      <w:r>
        <w:rPr/>
        <w:t> </w:t>
      </w:r>
    </w:p>
    <w:tbl>
      <w:tblPr>
        <w:tblW w:w="4724" w:type="dxa"/>
        <w:jc w:val="left"/>
        <w:tblInd w:w="0" w:type="dxa"/>
        <w:tblLayout w:type="fixed"/>
        <w:tblCellMar>
          <w:top w:w="28" w:type="dxa"/>
          <w:left w:w="28" w:type="dxa"/>
          <w:bottom w:w="28" w:type="dxa"/>
          <w:right w:w="28" w:type="dxa"/>
        </w:tblCellMar>
      </w:tblPr>
      <w:tblGrid>
        <w:gridCol w:w="2161"/>
        <w:gridCol w:w="146"/>
        <w:gridCol w:w="211"/>
        <w:gridCol w:w="736"/>
        <w:gridCol w:w="166"/>
        <w:gridCol w:w="146"/>
        <w:gridCol w:w="211"/>
        <w:gridCol w:w="736"/>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provision for income tax benefit differs from the amount estimated by applying the statutory federal income tax rate to the operating loss due to the following (in thousands): </w:t>
      </w:r>
    </w:p>
    <w:p>
      <w:pPr>
        <w:pStyle w:val="TextBody"/>
        <w:bidi w:val="0"/>
        <w:jc w:val="left"/>
        <w:rPr/>
      </w:pPr>
      <w:r>
        <w:rPr/>
        <w:t> </w:t>
      </w:r>
    </w:p>
    <w:tbl>
      <w:tblPr>
        <w:tblW w:w="6689" w:type="dxa"/>
        <w:jc w:val="left"/>
        <w:tblInd w:w="0" w:type="dxa"/>
        <w:tblLayout w:type="fixed"/>
        <w:tblCellMar>
          <w:top w:w="28" w:type="dxa"/>
          <w:left w:w="28" w:type="dxa"/>
          <w:bottom w:w="28" w:type="dxa"/>
          <w:right w:w="28" w:type="dxa"/>
        </w:tblCellMar>
      </w:tblPr>
      <w:tblGrid>
        <w:gridCol w:w="4336"/>
        <w:gridCol w:w="146"/>
        <w:gridCol w:w="211"/>
        <w:gridCol w:w="631"/>
        <w:gridCol w:w="166"/>
        <w:gridCol w:w="146"/>
        <w:gridCol w:w="211"/>
        <w:gridCol w:w="63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Tax (benefit) on the loss before income tax expense </w:t>
              <w:br/>
              <w:t>   computed at the federal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 (benefit) at statutory rate, net of federal</w:t>
              <w:br/>
              <w:t>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211" w:type="dxa"/>
            <w:tcBorders/>
            <w:shd w:fill="FFFFFF" w:val="cle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research and development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162(m) limitation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net operating loss true up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11" w:type="dxa"/>
            <w:tcBorders/>
            <w:shd w:fill="FFFFFF" w:val="cle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capital losses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11" w:type="dxa"/>
            <w:tcBorders/>
            <w:shd w:fill="CFF0FC" w:val="clear"/>
            <w:vAlign w:val="center"/>
          </w:tcPr>
          <w:p>
            <w:pPr>
              <w:pStyle w:val="TableContents"/>
              <w:bidi w:val="0"/>
              <w:spacing w:before="0" w:after="283"/>
              <w:jc w:val="left"/>
              <w:rPr/>
            </w:pPr>
            <w:r>
              <w:rPr/>
              <w:t> </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state rates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FFFFFF" w:val="clear"/>
            <w:vAlign w:val="center"/>
          </w:tcPr>
          <w:p>
            <w:pPr>
              <w:pStyle w:val="TableContents"/>
              <w:bidi w:val="0"/>
              <w:spacing w:before="0" w:after="283"/>
              <w:jc w:val="left"/>
              <w:rPr/>
            </w:pPr>
            <w:r>
              <w:rPr/>
              <w:t> </w:t>
            </w:r>
          </w:p>
        </w:tc>
      </w:tr>
      <w:tr>
        <w:trPr/>
        <w:tc>
          <w:tcPr>
            <w:tcW w:w="4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2023 and 2022 (in thousands): </w:t>
      </w:r>
    </w:p>
    <w:p>
      <w:pPr>
        <w:pStyle w:val="TextBody"/>
        <w:bidi w:val="0"/>
        <w:jc w:val="left"/>
        <w:rPr/>
      </w:pPr>
      <w:r>
        <w:rPr/>
        <w:t> </w:t>
      </w:r>
    </w:p>
    <w:tbl>
      <w:tblPr>
        <w:tblW w:w="7274" w:type="dxa"/>
        <w:jc w:val="left"/>
        <w:tblInd w:w="0" w:type="dxa"/>
        <w:tblLayout w:type="fixed"/>
        <w:tblCellMar>
          <w:top w:w="28" w:type="dxa"/>
          <w:left w:w="28" w:type="dxa"/>
          <w:bottom w:w="28" w:type="dxa"/>
          <w:right w:w="28" w:type="dxa"/>
        </w:tblCellMar>
      </w:tblPr>
      <w:tblGrid>
        <w:gridCol w:w="4311"/>
        <w:gridCol w:w="146"/>
        <w:gridCol w:w="211"/>
        <w:gridCol w:w="736"/>
        <w:gridCol w:w="166"/>
        <w:gridCol w:w="146"/>
        <w:gridCol w:w="211"/>
        <w:gridCol w:w="736"/>
        <w:gridCol w:w="61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and state net operating loss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other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 loss carryover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non-current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3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non-current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recorded a full valuation allowance against its net deferred tax assets due to the uncertainty as to whether such assets will be realized. The valuation allowance increased by $8.9 million from December 31, 2022 to December 31, 2023 primarily due to the generation of current year net operating losses, research and development credits claimed, capitalized research and developments costs, and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$206.7 million of federal, $111.0 million of state and $2.3 million of foreign net operating losses available to offset future taxable income. The Federal net operating loss carryforwards arising from years prior to 2018 began to expire in 2022, however post 2017 federal net operating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carryforwards of $93.1 million may be carried forward indefinitely. The state net operating loss carryforwards will begin to expire in 2028 and the foreign net operating loss carryforward can be carried forward indefinitely, if not utilized. As of December 31, 2023, the Company also had $6.4 million of federal and $3.4 million of state research and development credit carryforwards. The federal research and development credit carryforward begin to expire in 2024 and the state research and development credit can be carried forward indefinitely. Beginning in fiscal year 2023, the Tax Cuts and Jobs Act of 2017 eliminates the option to deduct research and development expenditures currently and requires taxpayers to amortize such costs over a period of five or fifteen years. While it is possible that Congress may modify, defer, or repeal such provision, we have no assurance that the provision will be modified, deferred or repealed.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Utilization of the net operating loss and tax credit carry forwards are subject to an annual limitation due to the ownership percentage change limitations provided by the Internal Revenue Code of 1986 and similar state provisions. The annual limitation may result in the expiration of the net operating loss before utilization. The Company completed Section 382 analysis through December 2016 and determined that an ownership change, as defined under Section 382 of the Internal Revenue Code, occurred in June 2016. The Company’s tax attributes are subject to an annual limitation of $0.5 million per year for federal purposes. For years ended after December 31, 2016, the utilization of net operating losses and tax credit carryforwards are subject to further limitation in the event an additional ownership change were to occur for tax purposes. The Company is currently in the process of analyzing whether there was an ownership change, as defined under Section 382 of the Internal Revenue Code, resulting from the issuance of new shares during 2018 through 2023 and expects that analysis to completed during 2024. As such, as of the date of these consolidated financial statements the Company is not able to determine the impact on the net operating loss (NOL) carryforwards,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 taxes and foreign withholding taxes have not been provided on undistributed earnings for certain non-U.S. subsidiaries as of December 31, 2023, as the earnings, if any, are intended to be indefinitely reinvested.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the activities of gross unrecognized tax benefits (in thousands): </w:t>
      </w:r>
    </w:p>
    <w:p>
      <w:pPr>
        <w:pStyle w:val="TextBody"/>
        <w:bidi w:val="0"/>
        <w:jc w:val="left"/>
        <w:rPr/>
      </w:pPr>
      <w:r>
        <w:rPr/>
        <w:t> </w:t>
      </w:r>
    </w:p>
    <w:tbl>
      <w:tblPr>
        <w:tblW w:w="5884" w:type="dxa"/>
        <w:jc w:val="left"/>
        <w:tblInd w:w="0" w:type="dxa"/>
        <w:tblLayout w:type="fixed"/>
        <w:tblCellMar>
          <w:top w:w="28" w:type="dxa"/>
          <w:left w:w="28" w:type="dxa"/>
          <w:bottom w:w="28" w:type="dxa"/>
          <w:right w:w="28" w:type="dxa"/>
        </w:tblCellMar>
      </w:tblPr>
      <w:tblGrid>
        <w:gridCol w:w="3691"/>
        <w:gridCol w:w="146"/>
        <w:gridCol w:w="211"/>
        <w:gridCol w:w="571"/>
        <w:gridCol w:w="146"/>
        <w:gridCol w:w="146"/>
        <w:gridCol w:w="211"/>
        <w:gridCol w:w="57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related to current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the “more likely than not” criterion for recognizing the tax benefit of uncertain tax positions and to establish measurement criteria for income tax benefits. The Company has determined it has $2.9 million of unrecognized assets and liabilities related to uncertain tax positions as of December 31, 2023. Changes in the unrecognized tax benefits within the next 12 months are expected to be similar to prior years and should not significantly increase or decrease. In the event the Company should need to recognize interest and penalties related to unrecognized tax liabilities, this amount will be recorded as a component of 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unrecognized tax benefits that would impact the effective tax rate as of December 31, 2023 and December 31, 2022. As of December 31, 2023, unrecognized tax benefits of $2.9 million would be offset by a change in valuation allowance.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income tax returns in the U.S. federal jurisdiction, certain state jurisdictions, United Kingdom and Ireland. In the normal course of business, the Company is subject to examination by federal, state, local and foreign jurisdictions, where applicable. In the U.S federal jurisdiction, tax years 2003 forward remain open to examination, in the state tax jurisdiction, years 2008 forward remain open to examination and in the foreign jurisdiction, years 2015 forward remain open to examination. The Company is currently not under audit by any federal, state, local or foreign jurisdiction.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computed by dividing net loss by the weighted-average number of common shares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hAnsi="Times New Roman"/>
          <w:i/>
          <w:color w:val="000000"/>
          <w:sz w:val="20"/>
        </w:rPr>
        <w:t>ASC 260 Earnings Per Shares</w:t>
      </w:r>
      <w:r>
        <w:rPr>
          <w:rFonts w:ascii="Times New Roman" w:hAnsi="Times New Roman"/>
          <w:color w:val="000000"/>
          <w:sz w:val="20"/>
        </w:rPr>
        <w:t>. Diluted net loss per share is computed by dividing net loss by the weighted-average number of common stock outstanding and dilutive potential common stock that would be issued upon the exercise or vesting of common stock awards, restricted stock units and exercise of common stock warrants that are not pre-funded. The Company applies the two-class method to calculate basic and diluted earnings per share as its warrants issued in March 2022 and May 2023 are participating securities. However, the two-class method does not impact the net loss per share of common stock as the March 2022 and May 2023 common warrants issued do not participate in losses</w:t>
      </w:r>
      <w:r>
        <w:rPr>
          <w:rFonts w:ascii="Calibri;sans-serif" w:hAnsi="Calibri;sans-serif"/>
          <w:color w:val="000000"/>
          <w:sz w:val="20"/>
        </w:rPr>
        <w:t xml:space="preserve">. </w:t>
      </w:r>
      <w:r>
        <w:rPr>
          <w:rFonts w:ascii="Times New Roman" w:hAnsi="Times New Roman"/>
          <w:color w:val="000000"/>
          <w:sz w:val="20"/>
        </w:rPr>
        <w:t xml:space="preserve">For the years ended December 31, 2023 and 2022, the effect of issuing the respective potential common stock is anti-dilutive due to the net losses in those periods and therefore the number of shares used to compute basic and diluted net loss per share are the same in each of those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are included in the weighted-average common shares outstanding used to calculate basic and diluted net loss per common share:</w:t>
      </w:r>
    </w:p>
    <w:p>
      <w:pPr>
        <w:pStyle w:val="TextBody"/>
        <w:bidi w:val="0"/>
        <w:spacing w:before="240" w:after="283"/>
        <w:jc w:val="left"/>
        <w:rPr/>
      </w:pPr>
      <w:r>
        <w:rPr/>
        <w:t> </w:t>
      </w:r>
    </w:p>
    <w:tbl>
      <w:tblPr>
        <w:tblW w:w="7609" w:type="dxa"/>
        <w:jc w:val="left"/>
        <w:tblInd w:w="0" w:type="dxa"/>
        <w:tblLayout w:type="fixed"/>
        <w:tblCellMar>
          <w:top w:w="28" w:type="dxa"/>
          <w:left w:w="28" w:type="dxa"/>
          <w:bottom w:w="28" w:type="dxa"/>
          <w:right w:w="28" w:type="dxa"/>
        </w:tblCellMar>
      </w:tblPr>
      <w:tblGrid>
        <w:gridCol w:w="4321"/>
        <w:gridCol w:w="346"/>
        <w:gridCol w:w="146"/>
        <w:gridCol w:w="1036"/>
        <w:gridCol w:w="146"/>
        <w:gridCol w:w="146"/>
        <w:gridCol w:w="146"/>
        <w:gridCol w:w="931"/>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15,040,036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7,409,165</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pre-funded warrants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987,923</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exchange warrants</w:t>
            </w:r>
          </w:p>
        </w:tc>
        <w:tc>
          <w:tcPr>
            <w:tcW w:w="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exchange warrants</w:t>
            </w:r>
          </w:p>
        </w:tc>
        <w:tc>
          <w:tcPr>
            <w:tcW w:w="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3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8,397,088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have been excluded from the computations of diluted weighted-average shares outstanding because such securities have an antidilutive impact due to losses reported (in common stock equivalent shares): </w:t>
      </w:r>
    </w:p>
    <w:p>
      <w:pPr>
        <w:pStyle w:val="TextBody"/>
        <w:bidi w:val="0"/>
        <w:jc w:val="left"/>
        <w:rPr/>
      </w:pPr>
      <w:r>
        <w:rPr/>
        <w:t> </w:t>
      </w:r>
    </w:p>
    <w:tbl>
      <w:tblPr>
        <w:tblW w:w="7394" w:type="dxa"/>
        <w:jc w:val="left"/>
        <w:tblInd w:w="0" w:type="dxa"/>
        <w:tblLayout w:type="fixed"/>
        <w:tblCellMar>
          <w:top w:w="28" w:type="dxa"/>
          <w:left w:w="28" w:type="dxa"/>
          <w:bottom w:w="28" w:type="dxa"/>
          <w:right w:w="28" w:type="dxa"/>
        </w:tblCellMar>
      </w:tblPr>
      <w:tblGrid>
        <w:gridCol w:w="4306"/>
        <w:gridCol w:w="146"/>
        <w:gridCol w:w="146"/>
        <w:gridCol w:w="1036"/>
        <w:gridCol w:w="146"/>
        <w:gridCol w:w="146"/>
        <w:gridCol w:w="146"/>
        <w:gridCol w:w="931"/>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2010/2012 convertible note</w:t>
              <w:br/>
              <w:t>   holders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underwriter to purchase common</w:t>
              <w:br/>
              <w:t>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PIPE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3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686,574</w:t>
            </w:r>
          </w:p>
        </w:tc>
        <w:tc>
          <w:tcPr>
            <w:tcW w:w="391" w:type="dxa"/>
            <w:tcBorders/>
            <w:shd w:fill="FFFFFF" w:val="cle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4,747,787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12. Defined Contribution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The Company made no matching contributions during the years ended December 31, 2023 and 2022.</w:t>
      </w:r>
    </w:p>
    <w:p>
      <w:pPr>
        <w:pStyle w:val="TextBody"/>
        <w:bidi w:val="0"/>
        <w:spacing w:before="360" w:after="283"/>
        <w:jc w:val="left"/>
        <w:rPr>
          <w:rFonts w:ascii="Times New Roman" w:hAnsi="Times New Roman"/>
          <w:sz w:val="20"/>
        </w:rPr>
      </w:pPr>
      <w:r>
        <w:rPr>
          <w:rFonts w:ascii="Times New Roman" w:hAnsi="Times New Roman"/>
          <w:b/>
          <w:color w:val="000000"/>
          <w:sz w:val="20"/>
        </w:rPr>
        <w:t>Note 13.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8, 2024, the Company entered into a six-month office license agreement to license 4,141 square feet of additional space adjacent to its existing office where the Company is currently located in Redwood City, California. The term of the new space expires October 31, 2024, unless terminated earlier in accordance with the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center"/>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reports filed under the Securities Exchange Act of 1934, as amended (the Exchange Act), is recorded, processed, summarized and reported within the time periods specified in U.S. Securities and Exchange Commission,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Principal Executive Officer and Principal Financial Officer, after evaluating the effectiveness of our disclosure controls and procedures (as defined in Exchange Act Rules 13a-15(e) and 15d-15(e)) as of the end of the period covered by this Annual Report on Form 10-K, have concluded that, based on such evaluation, our disclosure controls and procedures were effective to ensure that information required to be disclosed by us in the reports that we file or submit under the Exchange Act is recorded, processed, summarized and reported, with the time periods specified in the SEC’s rules and forms, and is accumulated and communicated to our management, including our Principal Executive Officer and Principal Financial Officer as appropriate to allow timely decisions regarding required disclosure. </w:t>
      </w:r>
    </w:p>
    <w:p>
      <w:pPr>
        <w:pStyle w:val="TextBody"/>
        <w:bidi w:val="0"/>
        <w:spacing w:before="360" w:after="283"/>
        <w:jc w:val="left"/>
        <w:rPr>
          <w:rFonts w:ascii="Times New Roman" w:hAnsi="Times New Roman"/>
          <w:sz w:val="20"/>
        </w:rPr>
      </w:pPr>
      <w:r>
        <w:rPr>
          <w:rFonts w:ascii="Times New Roman" w:hAnsi="Times New Roman"/>
          <w:b/>
          <w:color w:val="000000"/>
          <w:sz w:val="20"/>
        </w:rPr>
        <w:t>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 13a-15(f) under the Exchange Act.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Management conducted an evaluation of the effectiveness of our control over financial reporting based on the 2013 framework in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Based on this evaluation, management concluded that our internal control over financial reporting was effective as of December 31, 2023. </w:t>
      </w:r>
    </w:p>
    <w:p>
      <w:pPr>
        <w:pStyle w:val="TextBody"/>
        <w:bidi w:val="0"/>
        <w:spacing w:before="360" w:after="283"/>
        <w:jc w:val="left"/>
        <w:rPr>
          <w:rFonts w:ascii="Times New Roman" w:hAnsi="Times New Roman"/>
          <w:sz w:val="20"/>
        </w:rPr>
      </w:pPr>
      <w:r>
        <w:rPr>
          <w:rFonts w:ascii="Times New Roman" w:hAnsi="Times New Roman"/>
          <w:i/>
          <w:color w:val="000000"/>
          <w:sz w:val="20"/>
        </w:rPr>
        <w:t>Changes in Internal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our internal control over financial reporting that occurred during our last fiscal quarter ended December 31, 2023 that have materially affected, or are reasonably likely to materially affect, our internal control over financial reporting.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25" w:name="item_9b_or_information"/>
      <w:bookmarkEnd w:id="25"/>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spacing w:before="360" w:after="283"/>
        <w:jc w:val="center"/>
        <w:rPr>
          <w:rFonts w:ascii="Times New Roman" w:hAnsi="Times New Roman"/>
          <w:b/>
          <w:color w:val="000000"/>
          <w:sz w:val="20"/>
        </w:rPr>
      </w:pPr>
      <w:bookmarkStart w:id="26" w:name="item_9c_disclousre_regarding_foreign_jur"/>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28" w:name="item_10_directors_executive_ficers_corpo"/>
      <w:bookmarkEnd w:id="28"/>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 </w:t>
      </w:r>
    </w:p>
    <w:p>
      <w:pPr>
        <w:pStyle w:val="TextBody"/>
        <w:bidi w:val="0"/>
        <w:spacing w:before="360" w:after="283"/>
        <w:jc w:val="center"/>
        <w:rPr>
          <w:rFonts w:ascii="Times New Roman" w:hAnsi="Times New Roman"/>
          <w:b/>
          <w:color w:val="000000"/>
          <w:sz w:val="20"/>
        </w:rPr>
      </w:pPr>
      <w:bookmarkStart w:id="29" w:name="item_11_executive_compensation"/>
      <w:bookmarkEnd w:id="29"/>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 </w:t>
      </w:r>
    </w:p>
    <w:p>
      <w:pPr>
        <w:pStyle w:val="TextBody"/>
        <w:bidi w:val="0"/>
        <w:spacing w:before="360" w:after="283"/>
        <w:jc w:val="center"/>
        <w:rPr>
          <w:rFonts w:ascii="Times New Roman" w:hAnsi="Times New Roman"/>
          <w:b/>
          <w:color w:val="000000"/>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 </w:t>
      </w:r>
    </w:p>
    <w:p>
      <w:pPr>
        <w:pStyle w:val="TextBody"/>
        <w:bidi w:val="0"/>
        <w:spacing w:before="360" w:after="283"/>
        <w:jc w:val="center"/>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 </w:t>
      </w:r>
    </w:p>
    <w:p>
      <w:pPr>
        <w:pStyle w:val="TextBody"/>
        <w:bidi w:val="0"/>
        <w:spacing w:before="360" w:after="283"/>
        <w:jc w:val="center"/>
        <w:rPr>
          <w:rFonts w:ascii="Times New Roman" w:hAnsi="Times New Roman"/>
          <w:b/>
          <w:color w:val="000000"/>
          <w:sz w:val="20"/>
        </w:rPr>
      </w:pPr>
      <w:bookmarkStart w:id="32" w:name="item_14_principal_accounting_fees_servic"/>
      <w:bookmarkEnd w:id="32"/>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for our 2024 Annual Meeting of Stockholders. The Definitive Proxy Statement will be filed with the Securities and Exchange Commission within 120 days after the end of the fiscal year covered by this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4" w:name="item_15_exhibits_financial_statement_sch"/>
      <w:bookmarkEnd w:id="34"/>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See “Index to Financial Statements” in Part II,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Schedules: All schedules have been omitted because the information called for is not required or is shown either in the financial statements or in the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The exhibits listed in the accompanying index to exhibits are filed or incorporated by reference as part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59"/>
        <w:gridCol w:w="146"/>
        <w:gridCol w:w="146"/>
        <w:gridCol w:w="296"/>
        <w:gridCol w:w="397"/>
        <w:gridCol w:w="298"/>
        <w:gridCol w:w="146"/>
        <w:gridCol w:w="1155"/>
        <w:gridCol w:w="146"/>
        <w:gridCol w:w="69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0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Underwriting Agreement, dated as of September 28, 2023, by and between Soleno Therapeutics, Inc. and Guggenheim Securities, LLC, as representative of the underwriters named therein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29, 2023</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center"/>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Stock Purchase Agreement, dated as of July 18, 2017, and between Soleno Therapeutics, Inc., a Delaware corporation, and NeoForce Holdings, Inc. a Delaware corporation</w:t>
              </w:r>
            </w:hyperlink>
            <w:hyperlink r:id="rId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24,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2.2</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Joint Venture Agreement, dated as of December 4, 2017, by and among Soleno Therapeutics, Inc., Capnia, Inc., and OptAsia Healthcare Limited</w:t>
              </w:r>
            </w:hyperlink>
            <w:hyperlink r:id="rId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8,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2.3</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PRC IP Purchase Agreement, dated as of December 4, 2017, by and between OptAsia Healthcare Limited and Capnia, Inc.</w:t>
              </w:r>
            </w:hyperlink>
            <w:hyperlink r:id="rId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8,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2.4</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Transition Services Agreement, dated as of December 4, 2017, by and among Soleno Therapeutics, Inc., a Delaware corporation, Capnia, Inc. and OptAsia Healthcare, Ltd., a Hong Kong company</w:t>
              </w:r>
            </w:hyperlink>
            <w:hyperlink r:id="rId1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8,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Soleno Therapeutics, Inc.</w:t>
              </w:r>
            </w:hyperlink>
            <w:hyperlink r:id="rId1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7,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Amended and Restated Bylaws of Soleno Therapeutics, Inc.</w:t>
              </w:r>
            </w:hyperlink>
            <w:hyperlink r:id="rId1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Designation of Preferences, Rights and Limitations of Series A Convertible Preferred Stock.</w:t>
              </w:r>
            </w:hyperlink>
            <w:hyperlink r:id="rId1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3.4</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Certificate of Designation of Preferences, Rights and Limitations of Series B Convertible Preferred Stock</w:t>
              </w:r>
            </w:hyperlink>
            <w:hyperlink r:id="rId1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3.5</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Certificate of Amendment</w:t>
              </w:r>
            </w:hyperlink>
            <w:hyperlink r:id="rId2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11,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3.6</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Certificate of Amendment to the Certificate of Incorporation</w:t>
              </w:r>
            </w:hyperlink>
            <w:hyperlink r:id="rId2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6,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r>
        <w:trPr/>
        <w:tc>
          <w:tcPr>
            <w:tcW w:w="7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Certificate of Amendment to the Certificate of Incorporation</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center"/>
              <w:rPr/>
            </w:pPr>
            <w:r>
              <w:rPr/>
              <w:t> </w:t>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the Registrant's common stock certificate.</w:t>
              </w:r>
            </w:hyperlink>
            <w:hyperlink r:id="rId2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5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016"/>
        <w:gridCol w:w="146"/>
        <w:gridCol w:w="146"/>
        <w:gridCol w:w="296"/>
        <w:gridCol w:w="397"/>
        <w:gridCol w:w="298"/>
        <w:gridCol w:w="146"/>
        <w:gridCol w:w="858"/>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5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Investors’ Rights Agreement, dated March 20, 2008, by and among Soleno Therapeutics, Inc. and certain holders of the Soleno Therapeutics, Inc.’s capital stock named therein.</w:t>
              </w:r>
            </w:hyperlink>
            <w:hyperlink r:id="rId2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Series A Warrant Agreement.</w:t>
              </w:r>
            </w:hyperlink>
            <w:hyperlink r:id="rId2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the Series A Warrant certificate.</w:t>
              </w:r>
            </w:hyperlink>
            <w:hyperlink r:id="rId3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Underwriters’ Compensation Warrant.</w:t>
              </w:r>
            </w:hyperlink>
            <w:hyperlink r:id="rId3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Convertible Promissory Note issued in February 2010 and March 2010 in connection with the 2010 convertible note financing.</w:t>
              </w:r>
            </w:hyperlink>
            <w:hyperlink r:id="rId3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4.7</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Warrant to Purchase Shares issued in February 2010 and March 2010 in connection with the 2010 convertible note financing.</w:t>
              </w:r>
            </w:hyperlink>
            <w:hyperlink r:id="rId3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4.8</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Convertible Promissory Note issued in November 2010 in connection with the 2010 convertible note financing.</w:t>
              </w:r>
            </w:hyperlink>
            <w:hyperlink r:id="rId3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4.9</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Warrant to Purchase Shares issued in November 2010 in connection with the 2010 convertible note financing.</w:t>
              </w:r>
            </w:hyperlink>
            <w:hyperlink r:id="rId4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4.10</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Convertible Promissory Note issued in January 2012 in connection with the 2012 convertible note financing.</w:t>
              </w:r>
            </w:hyperlink>
            <w:hyperlink r:id="rId4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4.11</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Warrant to Purchase Shares issued in January 2012 in connection with Soleno Therapeutics, Inc.’s 2012 convertible note financing.</w:t>
              </w:r>
            </w:hyperlink>
            <w:hyperlink r:id="rId4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4.12</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Form of Convertible Promissory Note issued in July 2012 and August 2012 in connection with the 2012 convertible note financing.</w:t>
              </w:r>
            </w:hyperlink>
            <w:hyperlink r:id="rId4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4.13</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Warrant to Purchase Shares issued in July 2012 and August 2012 in connection with the 2012 convertible note financing.</w:t>
              </w:r>
            </w:hyperlink>
            <w:hyperlink r:id="rId4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4.14</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Convertible Promissory Note issued in April, August and October 2014 in connection with the 2014 convertible note financing.</w:t>
              </w:r>
            </w:hyperlink>
            <w:hyperlink r:id="rId5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4.15</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Form of Warrant to Purchase Shares issued in April, August and October 2014 in connection with the 2014 convertible note financing.</w:t>
              </w:r>
            </w:hyperlink>
            <w:hyperlink r:id="rId5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0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617"/>
        <w:gridCol w:w="146"/>
        <w:gridCol w:w="146"/>
        <w:gridCol w:w="296"/>
        <w:gridCol w:w="397"/>
        <w:gridCol w:w="298"/>
        <w:gridCol w:w="146"/>
        <w:gridCol w:w="1257"/>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5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7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51"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5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4.16</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Form of unit certificate.</w:t>
              </w:r>
            </w:hyperlink>
            <w:hyperlink r:id="rId5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4.17</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56">
              <w:r>
                <w:rPr>
                  <w:rStyle w:val="InternetLink"/>
                  <w:rFonts w:ascii="Times New Roman" w:hAnsi="Times New Roman"/>
                  <w:color w:val="0000FF"/>
                  <w:sz w:val="20"/>
                  <w:u w:val="single"/>
                </w:rPr>
                <w:t>Form of Series B Warrant Agreement.</w:t>
              </w:r>
            </w:hyperlink>
            <w:hyperlink r:id="rId5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4,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4.18</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Form of the Series B Warrant certificate.</w:t>
              </w:r>
            </w:hyperlink>
            <w:hyperlink r:id="rId5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4,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4.19</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60">
              <w:r>
                <w:rPr>
                  <w:rStyle w:val="InternetLink"/>
                  <w:rFonts w:ascii="Times New Roman" w:hAnsi="Times New Roman"/>
                  <w:color w:val="0000FF"/>
                  <w:sz w:val="20"/>
                  <w:u w:val="single"/>
                </w:rPr>
                <w:t>Form of the Series C Warrant Agreement.</w:t>
              </w:r>
            </w:hyperlink>
            <w:hyperlink r:id="rId6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4.20</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62">
              <w:r>
                <w:rPr>
                  <w:rStyle w:val="InternetLink"/>
                  <w:rFonts w:ascii="Times New Roman" w:hAnsi="Times New Roman"/>
                  <w:color w:val="0000FF"/>
                  <w:sz w:val="20"/>
                  <w:u w:val="single"/>
                </w:rPr>
                <w:t>Form of the Series C Warrant certificate.</w:t>
              </w:r>
            </w:hyperlink>
            <w:hyperlink r:id="rId6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4.21</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64">
              <w:r>
                <w:rPr>
                  <w:rStyle w:val="InternetLink"/>
                  <w:rFonts w:ascii="Times New Roman" w:hAnsi="Times New Roman"/>
                  <w:color w:val="0000FF"/>
                  <w:sz w:val="20"/>
                  <w:u w:val="single"/>
                </w:rPr>
                <w:t>Form of Series D Common Stock Purchase Warrant.</w:t>
              </w:r>
            </w:hyperlink>
            <w:hyperlink r:id="rId6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4.22</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66">
              <w:r>
                <w:rPr>
                  <w:rStyle w:val="InternetLink"/>
                  <w:rFonts w:ascii="Times New Roman" w:hAnsi="Times New Roman"/>
                  <w:color w:val="0000FF"/>
                  <w:sz w:val="20"/>
                  <w:u w:val="single"/>
                </w:rPr>
                <w:t>Form of Placement Agent Warrant.</w:t>
              </w:r>
            </w:hyperlink>
            <w:hyperlink r:id="rId6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4.23</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68">
              <w:r>
                <w:rPr>
                  <w:rStyle w:val="InternetLink"/>
                  <w:rFonts w:ascii="Times New Roman" w:hAnsi="Times New Roman"/>
                  <w:color w:val="0000FF"/>
                  <w:sz w:val="20"/>
                  <w:u w:val="single"/>
                </w:rPr>
                <w:t>Form of Series D common stock Warrant Certificate.</w:t>
              </w:r>
            </w:hyperlink>
            <w:hyperlink r:id="rId6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4.24</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70">
              <w:r>
                <w:rPr>
                  <w:rStyle w:val="InternetLink"/>
                  <w:rFonts w:ascii="Times New Roman" w:hAnsi="Times New Roman"/>
                  <w:color w:val="0000FF"/>
                  <w:sz w:val="20"/>
                  <w:u w:val="single"/>
                </w:rPr>
                <w:t>Form of Series A Convertible Preferred Stock Certificate.</w:t>
              </w:r>
            </w:hyperlink>
            <w:hyperlink r:id="rId7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4.25</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72">
              <w:r>
                <w:rPr>
                  <w:rStyle w:val="InternetLink"/>
                  <w:rFonts w:ascii="Times New Roman" w:hAnsi="Times New Roman"/>
                  <w:color w:val="0000FF"/>
                  <w:sz w:val="20"/>
                  <w:u w:val="single"/>
                </w:rPr>
                <w:t>Form of Placement Agent Warrant.</w:t>
              </w:r>
            </w:hyperlink>
            <w:hyperlink r:id="rId73">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4.26</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74">
              <w:r>
                <w:rPr>
                  <w:rStyle w:val="InternetLink"/>
                  <w:rFonts w:ascii="Times New Roman" w:hAnsi="Times New Roman"/>
                  <w:color w:val="0000FF"/>
                  <w:sz w:val="20"/>
                  <w:u w:val="single"/>
                </w:rPr>
                <w:t>Form of Series B Convertible Preferred Stock Certificate.</w:t>
              </w:r>
            </w:hyperlink>
            <w:hyperlink r:id="rId75">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4.27</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76">
              <w:r>
                <w:rPr>
                  <w:rStyle w:val="InternetLink"/>
                  <w:rFonts w:ascii="Times New Roman" w:hAnsi="Times New Roman"/>
                  <w:color w:val="0000FF"/>
                  <w:sz w:val="20"/>
                  <w:u w:val="single"/>
                </w:rPr>
                <w:t>Form of Common Stock Purchase Warrant</w:t>
              </w:r>
            </w:hyperlink>
            <w:hyperlink r:id="rId77">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13,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4.28</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78">
              <w:r>
                <w:rPr>
                  <w:rStyle w:val="InternetLink"/>
                  <w:rFonts w:ascii="Times New Roman" w:hAnsi="Times New Roman"/>
                  <w:color w:val="0000FF"/>
                  <w:sz w:val="20"/>
                  <w:u w:val="single"/>
                </w:rPr>
                <w:t>Form of Common Stock Purchase Warrant</w:t>
              </w:r>
            </w:hyperlink>
            <w:hyperlink r:id="rId7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19, 2018</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4.29</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0">
              <w:r>
                <w:rPr>
                  <w:rStyle w:val="InternetLink"/>
                  <w:rFonts w:ascii="Times New Roman" w:hAnsi="Times New Roman"/>
                  <w:color w:val="0000FF"/>
                  <w:sz w:val="20"/>
                  <w:u w:val="single"/>
                </w:rPr>
                <w:t>Description of the Registrant’s Securities Registered Pursuant to Section 12 of the Securities Exchange Act of 1934</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10-K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March 4, 2020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4.29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4.30</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1">
              <w:r>
                <w:rPr>
                  <w:rStyle w:val="InternetLink"/>
                  <w:rFonts w:ascii="Times New Roman" w:hAnsi="Times New Roman"/>
                  <w:color w:val="0000FF"/>
                  <w:sz w:val="20"/>
                  <w:u w:val="single"/>
                </w:rPr>
                <w:t>Form of Pre-Funded Warrant To Purchase Common Stock.</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30,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center"/>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4.31</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2">
              <w:r>
                <w:rPr>
                  <w:rStyle w:val="InternetLink"/>
                  <w:rFonts w:ascii="Times New Roman" w:hAnsi="Times New Roman"/>
                  <w:color w:val="0000FF"/>
                  <w:sz w:val="20"/>
                  <w:u w:val="single"/>
                </w:rPr>
                <w:t>Form of Common Warrant To Purchase Common Stock.</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30,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4.32</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3">
              <w:r>
                <w:rPr>
                  <w:rStyle w:val="InternetLink"/>
                  <w:rFonts w:ascii="Times New Roman" w:hAnsi="Times New Roman"/>
                  <w:color w:val="0000FF"/>
                  <w:sz w:val="20"/>
                  <w:u w:val="single"/>
                </w:rPr>
                <w:t>Form of Tranche A Warrant to Purchase Common Stock</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19,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4.33</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4">
              <w:r>
                <w:rPr>
                  <w:rStyle w:val="InternetLink"/>
                  <w:rFonts w:ascii="Times New Roman" w:hAnsi="Times New Roman"/>
                  <w:color w:val="0000FF"/>
                  <w:sz w:val="20"/>
                  <w:u w:val="single"/>
                </w:rPr>
                <w:t>Form of Tranche B Warrant to Purchase Common Stock</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19,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9.10</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5">
              <w:r>
                <w:rPr>
                  <w:rStyle w:val="InternetLink"/>
                  <w:rFonts w:ascii="Times New Roman" w:hAnsi="Times New Roman"/>
                  <w:color w:val="0000FF"/>
                  <w:sz w:val="20"/>
                  <w:u w:val="single"/>
                </w:rPr>
                <w:t>Form of Voting Agreement.</w:t>
              </w:r>
            </w:hyperlink>
            <w:hyperlink r:id="rId8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9.20</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7">
              <w:r>
                <w:rPr>
                  <w:rStyle w:val="InternetLink"/>
                  <w:rFonts w:ascii="Times New Roman" w:hAnsi="Times New Roman"/>
                  <w:color w:val="0000FF"/>
                  <w:sz w:val="20"/>
                  <w:u w:val="single"/>
                </w:rPr>
                <w:t>Form of Voting Agreement.</w:t>
              </w:r>
            </w:hyperlink>
            <w:hyperlink r:id="rId8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9.30</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hyperlink r:id="rId89">
              <w:r>
                <w:rPr>
                  <w:rStyle w:val="InternetLink"/>
                  <w:rFonts w:ascii="Times New Roman" w:hAnsi="Times New Roman"/>
                  <w:color w:val="0000FF"/>
                  <w:sz w:val="20"/>
                  <w:u w:val="single"/>
                </w:rPr>
                <w:t>Form of Voting Agreement.</w:t>
              </w:r>
            </w:hyperlink>
            <w:hyperlink r:id="rId9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27,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231"/>
        <w:gridCol w:w="146"/>
        <w:gridCol w:w="146"/>
        <w:gridCol w:w="296"/>
        <w:gridCol w:w="397"/>
        <w:gridCol w:w="298"/>
        <w:gridCol w:w="146"/>
        <w:gridCol w:w="643"/>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3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3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91">
              <w:r>
                <w:rPr>
                  <w:rStyle w:val="InternetLink"/>
                  <w:rFonts w:ascii="Times New Roman" w:hAnsi="Times New Roman"/>
                  <w:color w:val="0000FF"/>
                  <w:sz w:val="20"/>
                  <w:u w:val="single"/>
                </w:rPr>
                <w:t>Form of Indemnification Agreement between the Registrant and each of its directors and executive officers.</w:t>
              </w:r>
            </w:hyperlink>
            <w:hyperlink r:id="rId9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93">
              <w:r>
                <w:rPr>
                  <w:rStyle w:val="InternetLink"/>
                  <w:rFonts w:ascii="Times New Roman" w:hAnsi="Times New Roman"/>
                  <w:color w:val="0000FF"/>
                  <w:sz w:val="20"/>
                  <w:u w:val="single"/>
                </w:rPr>
                <w:t>1999 Incentive Stock Plan and forms of agreements thereunder.</w:t>
              </w:r>
            </w:hyperlink>
            <w:hyperlink r:id="rId9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95">
              <w:r>
                <w:rPr>
                  <w:rStyle w:val="InternetLink"/>
                  <w:rFonts w:ascii="Times New Roman" w:hAnsi="Times New Roman"/>
                  <w:color w:val="0000FF"/>
                  <w:sz w:val="20"/>
                  <w:u w:val="single"/>
                </w:rPr>
                <w:t>2010 Equity Incentive Plan and forms of agreements thereunder.</w:t>
              </w:r>
            </w:hyperlink>
            <w:hyperlink r:id="rId9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97">
              <w:r>
                <w:rPr>
                  <w:rStyle w:val="InternetLink"/>
                  <w:rFonts w:ascii="Times New Roman" w:hAnsi="Times New Roman"/>
                  <w:color w:val="0000FF"/>
                  <w:sz w:val="20"/>
                  <w:u w:val="single"/>
                </w:rPr>
                <w:t>2014 Equity Incentive Plan and forms of agreements thereunder.</w:t>
              </w:r>
            </w:hyperlink>
            <w:hyperlink r:id="rId9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99">
              <w:r>
                <w:rPr>
                  <w:rStyle w:val="InternetLink"/>
                  <w:rFonts w:ascii="Times New Roman" w:hAnsi="Times New Roman"/>
                  <w:color w:val="0000FF"/>
                  <w:sz w:val="20"/>
                  <w:u w:val="single"/>
                </w:rPr>
                <w:t>2014 Employee Stock Purchase Plan and forms of agreements thereunder.</w:t>
              </w:r>
            </w:hyperlink>
            <w:hyperlink r:id="rId10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01">
              <w:r>
                <w:rPr>
                  <w:rStyle w:val="InternetLink"/>
                  <w:rFonts w:ascii="Times New Roman" w:hAnsi="Times New Roman"/>
                  <w:color w:val="0000FF"/>
                  <w:sz w:val="20"/>
                  <w:u w:val="single"/>
                </w:rPr>
                <w:t>Offer Letter, dated June 22, 2007, by and between Soleno Therapeutics, Inc. and Ernest Mario, Ph.D.</w:t>
              </w:r>
            </w:hyperlink>
            <w:hyperlink r:id="rId10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03">
              <w:r>
                <w:rPr>
                  <w:rStyle w:val="InternetLink"/>
                  <w:rFonts w:ascii="Times New Roman" w:hAnsi="Times New Roman"/>
                  <w:color w:val="0000FF"/>
                  <w:sz w:val="20"/>
                  <w:u w:val="single"/>
                </w:rPr>
                <w:t>Employment Agreement, dated April 6, 2010, by and between Soleno Therapeutics, Inc. and Anish Bhatnagar.</w:t>
              </w:r>
            </w:hyperlink>
            <w:hyperlink r:id="rId10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05">
              <w:r>
                <w:rPr>
                  <w:rStyle w:val="InternetLink"/>
                  <w:rFonts w:ascii="Times New Roman" w:hAnsi="Times New Roman"/>
                  <w:color w:val="0000FF"/>
                  <w:sz w:val="20"/>
                  <w:u w:val="single"/>
                </w:rPr>
                <w:t>Offer Letter, dated May 29, 2013, between Soleno Therapeutics, Inc. and Anthony Wondka.</w:t>
              </w:r>
            </w:hyperlink>
            <w:hyperlink r:id="rId10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07">
              <w:r>
                <w:rPr>
                  <w:rStyle w:val="InternetLink"/>
                  <w:rFonts w:ascii="Times New Roman" w:hAnsi="Times New Roman"/>
                  <w:color w:val="0000FF"/>
                  <w:sz w:val="20"/>
                  <w:u w:val="single"/>
                </w:rPr>
                <w:t>Offer Letter, dated April 17, 2014, by and between Soleno Therapeutics, Inc. and Antoun Nabhan.</w:t>
              </w:r>
            </w:hyperlink>
            <w:hyperlink r:id="rId10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09">
              <w:r>
                <w:rPr>
                  <w:rStyle w:val="InternetLink"/>
                  <w:rFonts w:ascii="Times New Roman" w:hAnsi="Times New Roman"/>
                  <w:color w:val="0000FF"/>
                  <w:sz w:val="20"/>
                  <w:u w:val="single"/>
                </w:rPr>
                <w:t>Asset Purchase Agreement dated May 11, 2010, by and between Soleno Therapeutics, Inc. and BioMedical Drug Development Inc.</w:t>
              </w:r>
            </w:hyperlink>
            <w:hyperlink r:id="rId11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11">
              <w:r>
                <w:rPr>
                  <w:rStyle w:val="InternetLink"/>
                  <w:rFonts w:ascii="Times New Roman" w:hAnsi="Times New Roman"/>
                  <w:color w:val="0000FF"/>
                  <w:sz w:val="20"/>
                  <w:u w:val="single"/>
                </w:rPr>
                <w:t>Convertible Note and Warrant Purchase Agreement, dated February 10, 2010, by and among Soleno Therapeutics, Inc. and the investors named therein.</w:t>
              </w:r>
            </w:hyperlink>
            <w:hyperlink r:id="rId11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13">
              <w:r>
                <w:rPr>
                  <w:rStyle w:val="InternetLink"/>
                  <w:rFonts w:ascii="Times New Roman" w:hAnsi="Times New Roman"/>
                  <w:color w:val="0000FF"/>
                  <w:sz w:val="20"/>
                  <w:u w:val="single"/>
                </w:rPr>
                <w:t>Amendment No. 1 to Convertible Note and Warrant Purchase Agreement, Convertible Promissory Notes and Warrants to Purchase Shares, dated November 10, 2010, by and among Soleno Therapeutics, Inc. and the investors named therein.</w:t>
              </w:r>
            </w:hyperlink>
            <w:hyperlink r:id="rId11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5231" w:type="dxa"/>
            <w:tcBorders/>
            <w:vAlign w:val="center"/>
          </w:tcPr>
          <w:p>
            <w:pPr>
              <w:pStyle w:val="TableContents"/>
              <w:bidi w:val="0"/>
              <w:spacing w:before="0" w:after="283"/>
              <w:jc w:val="left"/>
              <w:rPr/>
            </w:pPr>
            <w:hyperlink r:id="rId115">
              <w:r>
                <w:rPr>
                  <w:rStyle w:val="InternetLink"/>
                  <w:rFonts w:ascii="Times New Roman" w:hAnsi="Times New Roman"/>
                  <w:color w:val="0000FF"/>
                  <w:sz w:val="20"/>
                  <w:u w:val="single"/>
                </w:rPr>
                <w:t>Amendment No. 2 to Convertible Note and Warrant Purchase Agreement, Convertible Promissory Notes and Warrants to Purchase Shares, dated January 17, 2012, by and among Soleno Therapeutics, Inc. and the investors named therein.</w:t>
              </w:r>
            </w:hyperlink>
            <w:hyperlink r:id="rId11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92"/>
        <w:gridCol w:w="146"/>
        <w:gridCol w:w="146"/>
        <w:gridCol w:w="296"/>
        <w:gridCol w:w="397"/>
        <w:gridCol w:w="298"/>
        <w:gridCol w:w="146"/>
        <w:gridCol w:w="1122"/>
        <w:gridCol w:w="146"/>
        <w:gridCol w:w="69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3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76"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17">
              <w:r>
                <w:rPr>
                  <w:rStyle w:val="InternetLink"/>
                  <w:rFonts w:ascii="Times New Roman" w:hAnsi="Times New Roman"/>
                  <w:color w:val="0000FF"/>
                  <w:sz w:val="20"/>
                  <w:u w:val="single"/>
                </w:rPr>
                <w:t>Convertible Note and Warrant Purchase Agreement, dated January 16, 2012, by and among Soleno Therapeutics, Inc. and the investors named therein.</w:t>
              </w:r>
            </w:hyperlink>
            <w:hyperlink r:id="rId11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19">
              <w:r>
                <w:rPr>
                  <w:rStyle w:val="InternetLink"/>
                  <w:rFonts w:ascii="Times New Roman" w:hAnsi="Times New Roman"/>
                  <w:color w:val="0000FF"/>
                  <w:sz w:val="20"/>
                  <w:u w:val="single"/>
                </w:rPr>
                <w:t>Omnibus Amendment to Convertible Note and Warrant Purchase Agreement, Convertible Promissory Notes and Warrants to Purchase Shares, dated July 31, 2012, by and among Soleno Therapeutics, Inc. and the investors named therein.</w:t>
              </w:r>
            </w:hyperlink>
            <w:hyperlink r:id="rId12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21">
              <w:r>
                <w:rPr>
                  <w:rStyle w:val="InternetLink"/>
                  <w:rFonts w:ascii="Times New Roman" w:hAnsi="Times New Roman"/>
                  <w:color w:val="0000FF"/>
                  <w:sz w:val="20"/>
                  <w:u w:val="single"/>
                </w:rPr>
                <w:t>Omnibus Amendment to Convertible Promissory Notes and Warrants to Purchase Shares, dated April 28, 2014, by and among Soleno Therapeutics, Inc. and the investors named therein.</w:t>
              </w:r>
            </w:hyperlink>
            <w:hyperlink r:id="rId12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23">
              <w:r>
                <w:rPr>
                  <w:rStyle w:val="InternetLink"/>
                  <w:rFonts w:ascii="Times New Roman" w:hAnsi="Times New Roman"/>
                  <w:color w:val="0000FF"/>
                  <w:sz w:val="20"/>
                  <w:u w:val="single"/>
                </w:rPr>
                <w:t>Convertible Note and Warrant Purchase Agreement, dated April 28, 2014, by and among Soleno Therapeutics, Inc. and the investors named therein.</w:t>
              </w:r>
            </w:hyperlink>
            <w:hyperlink r:id="rId12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25">
              <w:r>
                <w:rPr>
                  <w:rStyle w:val="InternetLink"/>
                  <w:rFonts w:ascii="Times New Roman" w:hAnsi="Times New Roman"/>
                  <w:color w:val="0000FF"/>
                  <w:sz w:val="20"/>
                  <w:u w:val="single"/>
                </w:rPr>
                <w:t>Omnibus Amendment to Convertible Note and Warrant Purchase Agreement, Convertible Promissory Notes and Warrants to Purchase Shares, dated May 5, 2014, by and among Soleno Therapeutics, Inc. and the investors named therein.</w:t>
              </w:r>
            </w:hyperlink>
            <w:hyperlink r:id="rId12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27">
              <w:r>
                <w:rPr>
                  <w:rStyle w:val="InternetLink"/>
                  <w:rFonts w:ascii="Times New Roman" w:hAnsi="Times New Roman"/>
                  <w:color w:val="0000FF"/>
                  <w:sz w:val="20"/>
                  <w:u w:val="single"/>
                </w:rPr>
                <w:t>Sublease, dated May 20, 2014, by and among Soleno Therapeutics, Inc. and Silicon Valley Finance Group.</w:t>
              </w:r>
            </w:hyperlink>
            <w:hyperlink r:id="rId12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29">
              <w:r>
                <w:rPr>
                  <w:rStyle w:val="InternetLink"/>
                  <w:rFonts w:ascii="Times New Roman" w:hAnsi="Times New Roman"/>
                  <w:color w:val="0000FF"/>
                  <w:sz w:val="20"/>
                  <w:u w:val="single"/>
                </w:rPr>
                <w:t>Offer Letter, dated June 24, 2014, by and between Soleno Therapeutics, Inc. and David D. O’Toole.</w:t>
              </w:r>
            </w:hyperlink>
            <w:hyperlink r:id="rId13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22,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31">
              <w:r>
                <w:rPr>
                  <w:rStyle w:val="InternetLink"/>
                  <w:rFonts w:ascii="Times New Roman" w:hAnsi="Times New Roman"/>
                  <w:color w:val="0000FF"/>
                  <w:sz w:val="20"/>
                  <w:u w:val="single"/>
                </w:rPr>
                <w:t>Loan Agreement by and between Soleno Therapeutics, Inc. and the investors named therein, dated September 29, 2014.</w:t>
              </w:r>
            </w:hyperlink>
            <w:hyperlink r:id="rId13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29,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33">
              <w:r>
                <w:rPr>
                  <w:rStyle w:val="InternetLink"/>
                  <w:rFonts w:ascii="Times New Roman" w:hAnsi="Times New Roman"/>
                  <w:color w:val="0000FF"/>
                  <w:sz w:val="20"/>
                  <w:u w:val="single"/>
                </w:rPr>
                <w:t>Revised Second Tranche Closing Notice and Letter Amendment dated August 18, 2014 relating to the August 2014 Notes.</w:t>
              </w:r>
            </w:hyperlink>
            <w:hyperlink r:id="rId13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4,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35">
              <w:r>
                <w:rPr>
                  <w:rStyle w:val="InternetLink"/>
                  <w:rFonts w:ascii="Times New Roman" w:hAnsi="Times New Roman"/>
                  <w:color w:val="0000FF"/>
                  <w:sz w:val="20"/>
                  <w:u w:val="single"/>
                </w:rPr>
                <w:t>Second Tranche Subsequent Closing Notice and Letter Amendment dated October 22, 2014 relating to the October 2014 Notes.</w:t>
              </w:r>
            </w:hyperlink>
            <w:hyperlink r:id="rId13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4, 2014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hyperlink r:id="rId137">
              <w:r>
                <w:rPr>
                  <w:rStyle w:val="InternetLink"/>
                  <w:rFonts w:ascii="Times New Roman" w:hAnsi="Times New Roman"/>
                  <w:color w:val="0000FF"/>
                  <w:sz w:val="20"/>
                  <w:u w:val="single"/>
                </w:rPr>
                <w:t>Form of Warrant Exercise Agreement.</w:t>
              </w:r>
            </w:hyperlink>
            <w:hyperlink r:id="rId13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99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649"/>
        <w:gridCol w:w="146"/>
        <w:gridCol w:w="146"/>
        <w:gridCol w:w="296"/>
        <w:gridCol w:w="397"/>
        <w:gridCol w:w="298"/>
        <w:gridCol w:w="146"/>
        <w:gridCol w:w="1225"/>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4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79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19"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64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39">
              <w:r>
                <w:rPr>
                  <w:rStyle w:val="InternetLink"/>
                  <w:rFonts w:ascii="Times New Roman" w:hAnsi="Times New Roman"/>
                  <w:color w:val="0000FF"/>
                  <w:sz w:val="20"/>
                  <w:u w:val="single"/>
                </w:rPr>
                <w:t>Advisory Agreement by and between Soleno Therapeutics, Inc. and Maxim Group LLC, dated March 4, 2015.</w:t>
              </w:r>
            </w:hyperlink>
            <w:hyperlink r:id="rId14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S-4</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41">
              <w:r>
                <w:rPr>
                  <w:rStyle w:val="InternetLink"/>
                  <w:rFonts w:ascii="Times New Roman" w:hAnsi="Times New Roman"/>
                  <w:color w:val="0000FF"/>
                  <w:sz w:val="20"/>
                  <w:u w:val="single"/>
                </w:rPr>
                <w:t>Agreement and First Amendment to Asset Purchase Agreement between the Company, BDDI and affiliate of BDDI, dated June 30, 2015.</w:t>
              </w:r>
            </w:hyperlink>
            <w:hyperlink r:id="rId14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7,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43">
              <w:r>
                <w:rPr>
                  <w:rStyle w:val="InternetLink"/>
                  <w:rFonts w:ascii="Times New Roman" w:hAnsi="Times New Roman"/>
                  <w:color w:val="0000FF"/>
                  <w:sz w:val="20"/>
                  <w:u w:val="single"/>
                </w:rPr>
                <w:t>Common Stock Purchase Agreement between the Company and an affiliate of BDDI, dated June 30, 2015.</w:t>
              </w:r>
            </w:hyperlink>
            <w:hyperlink r:id="rId14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7,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10.28</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45">
              <w:r>
                <w:rPr>
                  <w:rStyle w:val="InternetLink"/>
                  <w:rFonts w:ascii="Times New Roman" w:hAnsi="Times New Roman"/>
                  <w:color w:val="0000FF"/>
                  <w:sz w:val="20"/>
                  <w:u w:val="single"/>
                </w:rPr>
                <w:t>Registration Rights Agreement between the Company and Aspire Capital Fund, LLC, dated July 24, 2015.</w:t>
              </w:r>
            </w:hyperlink>
            <w:hyperlink r:id="rId14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27,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47">
              <w:r>
                <w:rPr>
                  <w:rStyle w:val="InternetLink"/>
                  <w:rFonts w:ascii="Times New Roman" w:hAnsi="Times New Roman"/>
                  <w:color w:val="0000FF"/>
                  <w:sz w:val="20"/>
                  <w:u w:val="single"/>
                </w:rPr>
                <w:t>Common Stock Purchase Agreement between the Company and Aspire Capital Fund, LLC, dated July 24, 2015.</w:t>
              </w:r>
            </w:hyperlink>
            <w:hyperlink r:id="rId14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27,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49">
              <w:r>
                <w:rPr>
                  <w:rStyle w:val="InternetLink"/>
                  <w:rFonts w:ascii="Times New Roman" w:hAnsi="Times New Roman"/>
                  <w:color w:val="0000FF"/>
                  <w:sz w:val="20"/>
                  <w:u w:val="single"/>
                </w:rPr>
                <w:t>Engagement Letter dated September 17, 2015, between Soleno Therapeutics, Inc. and Maxim Group, LLC.</w:t>
              </w:r>
            </w:hyperlink>
            <w:hyperlink r:id="rId15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10.31</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51">
              <w:r>
                <w:rPr>
                  <w:rStyle w:val="InternetLink"/>
                  <w:rFonts w:ascii="Times New Roman" w:hAnsi="Times New Roman"/>
                  <w:color w:val="0000FF"/>
                  <w:sz w:val="20"/>
                  <w:u w:val="single"/>
                </w:rPr>
                <w:t>Securities Purchase Agreement dated October 12, 2015.</w:t>
              </w:r>
            </w:hyperlink>
            <w:hyperlink r:id="rId15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10.32</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53">
              <w:r>
                <w:rPr>
                  <w:rStyle w:val="InternetLink"/>
                  <w:rFonts w:ascii="Times New Roman" w:hAnsi="Times New Roman"/>
                  <w:color w:val="0000FF"/>
                  <w:sz w:val="20"/>
                  <w:u w:val="single"/>
                </w:rPr>
                <w:t>Form of Registration Rights Agreement.</w:t>
              </w:r>
            </w:hyperlink>
            <w:hyperlink r:id="rId15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55">
              <w:r>
                <w:rPr>
                  <w:rStyle w:val="InternetLink"/>
                  <w:rFonts w:ascii="Times New Roman" w:hAnsi="Times New Roman"/>
                  <w:color w:val="0000FF"/>
                  <w:sz w:val="20"/>
                  <w:u w:val="single"/>
                </w:rPr>
                <w:t>Form of Lock-Up Agreement.</w:t>
              </w:r>
            </w:hyperlink>
            <w:hyperlink r:id="rId15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15,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10.34</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57">
              <w:r>
                <w:rPr>
                  <w:rStyle w:val="InternetLink"/>
                  <w:rFonts w:ascii="Times New Roman" w:hAnsi="Times New Roman"/>
                  <w:color w:val="0000FF"/>
                  <w:sz w:val="20"/>
                  <w:u w:val="single"/>
                </w:rPr>
                <w:t>Amendment No. 1 to Securities Purchase Agreement dated October 29, 2015.</w:t>
              </w:r>
            </w:hyperlink>
            <w:hyperlink r:id="rId15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22, 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10.33</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10.35</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59">
              <w:r>
                <w:rPr>
                  <w:rStyle w:val="InternetLink"/>
                  <w:rFonts w:ascii="Times New Roman" w:hAnsi="Times New Roman"/>
                  <w:color w:val="0000FF"/>
                  <w:sz w:val="20"/>
                  <w:u w:val="single"/>
                </w:rPr>
                <w:t>Transfer and Distribution Agreement: United States: by and between Soleno Therapeutics, Inc. and Bemes, Inc. signed January 26, 2016.</w:t>
              </w:r>
            </w:hyperlink>
            <w:hyperlink r:id="rId16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28,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10.36</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61">
              <w:r>
                <w:rPr>
                  <w:rStyle w:val="InternetLink"/>
                  <w:rFonts w:ascii="Times New Roman" w:hAnsi="Times New Roman"/>
                  <w:color w:val="0000FF"/>
                  <w:sz w:val="20"/>
                  <w:u w:val="single"/>
                </w:rPr>
                <w:t>Engagement Letter dated June 26, 2016, between Soleno Therapeutics, Inc. and Maxim Group, LLC.</w:t>
              </w:r>
            </w:hyperlink>
            <w:hyperlink r:id="rId16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10.37</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63">
              <w:r>
                <w:rPr>
                  <w:rStyle w:val="InternetLink"/>
                  <w:rFonts w:ascii="Times New Roman" w:hAnsi="Times New Roman"/>
                  <w:color w:val="0000FF"/>
                  <w:sz w:val="20"/>
                  <w:u w:val="single"/>
                </w:rPr>
                <w:t>Securities Purchase Agreement dated June 29, 2016.</w:t>
              </w:r>
            </w:hyperlink>
            <w:hyperlink r:id="rId16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10.38</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65">
              <w:r>
                <w:rPr>
                  <w:rStyle w:val="InternetLink"/>
                  <w:rFonts w:ascii="Times New Roman" w:hAnsi="Times New Roman"/>
                  <w:color w:val="0000FF"/>
                  <w:sz w:val="20"/>
                  <w:u w:val="single"/>
                </w:rPr>
                <w:t>Form of Registration Rights Agreement dated June 29, 2016.</w:t>
              </w:r>
            </w:hyperlink>
            <w:hyperlink r:id="rId16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6,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hyperlink r:id="rId167">
              <w:r>
                <w:rPr>
                  <w:rStyle w:val="InternetLink"/>
                  <w:rFonts w:ascii="Times New Roman" w:hAnsi="Times New Roman"/>
                  <w:color w:val="0000FF"/>
                  <w:sz w:val="20"/>
                  <w:u w:val="single"/>
                </w:rPr>
                <w:t>Amendment No. 1 to Securities Purchase Agreement dated September 20, 2016.</w:t>
              </w:r>
            </w:hyperlink>
            <w:hyperlink r:id="rId16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20,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10.39</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64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832"/>
        <w:gridCol w:w="146"/>
        <w:gridCol w:w="146"/>
        <w:gridCol w:w="296"/>
        <w:gridCol w:w="397"/>
        <w:gridCol w:w="298"/>
        <w:gridCol w:w="146"/>
        <w:gridCol w:w="1042"/>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97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536"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10.40</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69">
              <w:r>
                <w:rPr>
                  <w:rStyle w:val="InternetLink"/>
                  <w:rFonts w:ascii="Times New Roman" w:hAnsi="Times New Roman"/>
                  <w:color w:val="0000FF"/>
                  <w:sz w:val="20"/>
                  <w:u w:val="single"/>
                </w:rPr>
                <w:t>Agreement and Plan of Merger and Reorganization, dated as of December 22, 2016, by and among Soleno Therapeutics, Inc., a Delaware corporation, Essentialis, Inc., a Delaware corporation, Company E Merger Sub, Inc., a Delaware corporation and a wholly-owned subsidiary of Soleno Therapeutics, and Neil Cowen as the stockholders’ representative.</w:t>
              </w:r>
            </w:hyperlink>
            <w:hyperlink r:id="rId17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27, 2016</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10.41</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71">
              <w:r>
                <w:rPr>
                  <w:rStyle w:val="InternetLink"/>
                  <w:rFonts w:ascii="Times New Roman" w:hAnsi="Times New Roman"/>
                  <w:color w:val="0000FF"/>
                  <w:sz w:val="20"/>
                  <w:u w:val="single"/>
                </w:rPr>
                <w:t>Registration Rights Agreement between the Company and Aspire Capital Fund, LLC, dated January 27, 2017.</w:t>
              </w:r>
            </w:hyperlink>
            <w:hyperlink r:id="rId17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10.42</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73">
              <w:r>
                <w:rPr>
                  <w:rStyle w:val="InternetLink"/>
                  <w:rFonts w:ascii="Times New Roman" w:hAnsi="Times New Roman"/>
                  <w:color w:val="0000FF"/>
                  <w:sz w:val="20"/>
                  <w:u w:val="single"/>
                </w:rPr>
                <w:t>Common Stock Purchase Agreement between the Company and Aspire Capital Fund, LLC, dated January 27, 2017.</w:t>
              </w:r>
            </w:hyperlink>
            <w:hyperlink r:id="rId174">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10.52</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10.43</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75">
              <w:r>
                <w:rPr>
                  <w:rStyle w:val="InternetLink"/>
                  <w:rFonts w:ascii="Times New Roman" w:hAnsi="Times New Roman"/>
                  <w:color w:val="0000FF"/>
                  <w:sz w:val="20"/>
                  <w:u w:val="single"/>
                </w:rPr>
                <w:t>Stock Purchase Agreement made by and between the Company and NeoForce Holdings, Inc. a Delaware corporation dated July 18, 2017</w:t>
              </w:r>
            </w:hyperlink>
            <w:hyperlink r:id="rId176">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24,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10.44</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77">
              <w:r>
                <w:rPr>
                  <w:rStyle w:val="InternetLink"/>
                  <w:rFonts w:ascii="Times New Roman" w:hAnsi="Times New Roman"/>
                  <w:color w:val="0000FF"/>
                  <w:sz w:val="20"/>
                  <w:u w:val="single"/>
                </w:rPr>
                <w:t>Joint Venture Agreement dated as of December 4, 2017 by and among Soleno Therapeutics, Inc., Capnia, Inc., and OptAsia Healthcare Limited</w:t>
              </w:r>
            </w:hyperlink>
            <w:hyperlink r:id="rId17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8,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10.45</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79">
              <w:r>
                <w:rPr>
                  <w:rStyle w:val="InternetLink"/>
                  <w:rFonts w:ascii="Times New Roman" w:hAnsi="Times New Roman"/>
                  <w:color w:val="0000FF"/>
                  <w:sz w:val="20"/>
                  <w:u w:val="single"/>
                </w:rPr>
                <w:t>Securities Purchase Agreement, dated as of December 11, 2017</w:t>
              </w:r>
            </w:hyperlink>
            <w:hyperlink r:id="rId180">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13, 2017</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10.46</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1">
              <w:r>
                <w:rPr>
                  <w:rStyle w:val="InternetLink"/>
                  <w:rFonts w:ascii="Times New Roman" w:hAnsi="Times New Roman"/>
                  <w:color w:val="0000FF"/>
                  <w:sz w:val="20"/>
                  <w:u w:val="single"/>
                </w:rPr>
                <w:t>Confidential Consulting Agreement, dated September 5, 2017 by and between FLG Partners, LLC and the Company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4, 2018</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10.47</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2">
              <w:r>
                <w:rPr>
                  <w:rStyle w:val="InternetLink"/>
                  <w:rFonts w:ascii="Times New Roman" w:hAnsi="Times New Roman"/>
                  <w:color w:val="0000FF"/>
                  <w:sz w:val="20"/>
                  <w:u w:val="single"/>
                </w:rPr>
                <w:t>Securities Purchase Agreement, dated as of December 19, 2018</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19, 2018</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10.48</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3">
              <w:r>
                <w:rPr>
                  <w:rStyle w:val="InternetLink"/>
                  <w:rFonts w:ascii="Times New Roman" w:hAnsi="Times New Roman"/>
                  <w:color w:val="0000FF"/>
                  <w:sz w:val="20"/>
                  <w:u w:val="single"/>
                </w:rPr>
                <w:t>Employment Agreement with Kristen Yen</w:t>
              </w:r>
            </w:hyperlink>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29, 2019</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10.48</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10.49</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4">
              <w:r>
                <w:rPr>
                  <w:rStyle w:val="InternetLink"/>
                  <w:rFonts w:ascii="Times New Roman" w:hAnsi="Times New Roman"/>
                  <w:color w:val="0000FF"/>
                  <w:sz w:val="20"/>
                  <w:u w:val="single"/>
                </w:rPr>
                <w:t>Underwriting Agreement, dated as of June 24, 2020, by and between the Company and Guggenheim Securities, LLC dated June 24, 2020</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26, 2020</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10.50</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5">
              <w:r>
                <w:rPr>
                  <w:rStyle w:val="InternetLink"/>
                  <w:rFonts w:ascii="Times New Roman" w:hAnsi="Times New Roman"/>
                  <w:color w:val="0000FF"/>
                  <w:sz w:val="20"/>
                  <w:u w:val="single"/>
                </w:rPr>
                <w:t>2020 Inducement Equity Incentive Plan, as amended on January 24, 2024</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30, 2024</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10.51</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6">
              <w:r>
                <w:rPr>
                  <w:rStyle w:val="InternetLink"/>
                  <w:rFonts w:ascii="Times New Roman" w:hAnsi="Times New Roman"/>
                  <w:color w:val="0000FF"/>
                  <w:sz w:val="20"/>
                  <w:u w:val="single"/>
                </w:rPr>
                <w:t>Employment Agreement by and between the Company and James Mackaness, dated as of November 11, 2020</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13, 2020</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10.52</w:t>
            </w:r>
          </w:p>
        </w:tc>
        <w:tc>
          <w:tcPr>
            <w:tcW w:w="146" w:type="dxa"/>
            <w:tcBorders/>
            <w:vAlign w:val="center"/>
          </w:tcPr>
          <w:p>
            <w:pPr>
              <w:pStyle w:val="TableContents"/>
              <w:bidi w:val="0"/>
              <w:spacing w:before="0" w:after="283"/>
              <w:jc w:val="left"/>
              <w:rPr/>
            </w:pPr>
            <w:r>
              <w:rPr/>
              <w:t> </w:t>
            </w:r>
          </w:p>
        </w:tc>
        <w:tc>
          <w:tcPr>
            <w:tcW w:w="4832" w:type="dxa"/>
            <w:tcBorders/>
            <w:vAlign w:val="center"/>
          </w:tcPr>
          <w:p>
            <w:pPr>
              <w:pStyle w:val="TableContents"/>
              <w:bidi w:val="0"/>
              <w:spacing w:before="0" w:after="283"/>
              <w:jc w:val="left"/>
              <w:rPr/>
            </w:pPr>
            <w:hyperlink r:id="rId187">
              <w:r>
                <w:rPr>
                  <w:rStyle w:val="InternetLink"/>
                  <w:rFonts w:ascii="Times New Roman" w:hAnsi="Times New Roman"/>
                  <w:color w:val="0000FF"/>
                  <w:sz w:val="20"/>
                  <w:u w:val="single"/>
                </w:rPr>
                <w:t>Amendment to Employment Agreement by and between the Company and James Mackaness, dated as of January 8, 2021</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13, 2021</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743"/>
        <w:gridCol w:w="146"/>
        <w:gridCol w:w="146"/>
        <w:gridCol w:w="296"/>
        <w:gridCol w:w="397"/>
        <w:gridCol w:w="298"/>
        <w:gridCol w:w="146"/>
        <w:gridCol w:w="1131"/>
        <w:gridCol w:w="146"/>
        <w:gridCol w:w="691"/>
        <w:gridCol w:w="146"/>
        <w:gridCol w:w="106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7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889"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2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10.53</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r:id="rId188">
              <w:r>
                <w:rPr>
                  <w:rStyle w:val="InternetLink"/>
                  <w:rFonts w:ascii="Times New Roman" w:hAnsi="Times New Roman"/>
                  <w:color w:val="0000FF"/>
                  <w:sz w:val="20"/>
                  <w:u w:val="single"/>
                </w:rPr>
                <w:t>Amendment to Employment Agreement by and between the Company and Kristen Yen, dated as of January 8, 2021</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13, 2021</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10.54</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r:id="rId189">
              <w:r>
                <w:rPr>
                  <w:rStyle w:val="InternetLink"/>
                  <w:rFonts w:ascii="Times New Roman" w:hAnsi="Times New Roman"/>
                  <w:color w:val="0000FF"/>
                  <w:sz w:val="20"/>
                  <w:u w:val="single"/>
                </w:rPr>
                <w:t>Amendment to Employment Agreement by and between the Company and Patricia Hirano, dated as of January 8, 2021</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13, 2021</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10.55</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r:id="rId190">
              <w:r>
                <w:rPr>
                  <w:rStyle w:val="InternetLink"/>
                  <w:rFonts w:ascii="Times New Roman" w:hAnsi="Times New Roman"/>
                  <w:color w:val="0000FF"/>
                  <w:sz w:val="20"/>
                  <w:u w:val="single"/>
                </w:rPr>
                <w:t>Lease agreement between the Company and Hudson Towers at Shore Center, LLC dated April 16, 2021</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5, 2021</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10.55</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center"/>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10.56</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r:id="rId191">
              <w:r>
                <w:rPr>
                  <w:rStyle w:val="InternetLink"/>
                  <w:rFonts w:ascii="Times New Roman" w:hAnsi="Times New Roman"/>
                  <w:color w:val="0000FF"/>
                  <w:sz w:val="20"/>
                  <w:u w:val="single"/>
                </w:rPr>
                <w:t>Securities Purchase Agreement dated December 16, 2022</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19, 2022</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10.57</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r:id="rId192">
              <w:r>
                <w:rPr>
                  <w:rStyle w:val="InternetLink"/>
                  <w:rFonts w:ascii="Times New Roman" w:hAnsi="Times New Roman"/>
                  <w:color w:val="0000FF"/>
                  <w:sz w:val="20"/>
                  <w:u w:val="single"/>
                </w:rPr>
                <w:t>Amendment to lease agreement between Soleno Therapeutics, Inc. and Hudson Towers at Shore Center, LLC, dated as of April 24, 2023</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8, 2023</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center"/>
              <w:rPr/>
            </w:pPr>
            <w:r>
              <w:rPr/>
              <w:t> </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10.58</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10_58.htm">
              <w:r>
                <w:rPr>
                  <w:rStyle w:val="InternetLink"/>
                  <w:rFonts w:ascii="Times New Roman" w:hAnsi="Times New Roman"/>
                  <w:color w:val="0000FF"/>
                  <w:sz w:val="20"/>
                  <w:u w:val="single"/>
                </w:rPr>
                <w:t>License Agreement for Space and Services, dated February 8, 2024, by and between Soleno Therapeutics, Inc. and Hudson Towers at Shore Center, LLC</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10.59</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10_59.htm">
              <w:r>
                <w:rPr>
                  <w:rStyle w:val="InternetLink"/>
                  <w:rFonts w:ascii="Times New Roman" w:hAnsi="Times New Roman"/>
                  <w:color w:val="0000FF"/>
                  <w:sz w:val="20"/>
                  <w:u w:val="single"/>
                </w:rPr>
                <w:t>Outside Director Compensation Policy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lef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21_1.htm">
              <w:r>
                <w:rPr>
                  <w:rStyle w:val="InternetLink"/>
                  <w:rFonts w:ascii="Times New Roman" w:hAnsi="Times New Roman"/>
                  <w:color w:val="0000FF"/>
                  <w:sz w:val="20"/>
                  <w:u w:val="single"/>
                </w:rPr>
                <w:t>Subsidiaries</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23_1.htm">
              <w:r>
                <w:rPr>
                  <w:rStyle w:val="InternetLink"/>
                  <w:rFonts w:ascii="Times New Roman" w:hAnsi="Times New Roman"/>
                  <w:color w:val="0000FF"/>
                  <w:sz w:val="20"/>
                  <w:u w:val="single"/>
                </w:rPr>
                <w:t>Consent of Marcum LLP</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31_1.htm">
              <w:r>
                <w:rPr>
                  <w:rStyle w:val="InternetLink"/>
                  <w:rFonts w:ascii="Times New Roman" w:hAnsi="Times New Roman"/>
                  <w:color w:val="0000FF"/>
                  <w:sz w:val="20"/>
                  <w:u w:val="single"/>
                </w:rPr>
                <w:t>Certification of Principal Executive Officer Required Under Rule 13a-14(a) and 15d-14(a) of the Securities Exchange Act of 1934, as amended</w:t>
              </w:r>
            </w:hyperlink>
            <w:hyperlink w:anchor="slno-ex31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jc w:val="right"/>
              <w:rPr/>
            </w:pPr>
            <w:r>
              <w:rPr/>
              <w:t> </w:t>
            </w:r>
          </w:p>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31_2.htm">
              <w:r>
                <w:rPr>
                  <w:rStyle w:val="InternetLink"/>
                  <w:rFonts w:ascii="Times New Roman" w:hAnsi="Times New Roman"/>
                  <w:color w:val="0000FF"/>
                  <w:sz w:val="20"/>
                  <w:u w:val="single"/>
                </w:rPr>
                <w:t>Certification of Principal Financial and Accounting Officer Required Under Rule 13a-14(a) and 15d-14(a) of the Securities Exchange Act of 1934, as amended</w:t>
              </w:r>
            </w:hyperlink>
            <w:hyperlink w:anchor="slno-ex31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32_1.htm">
              <w:r>
                <w:rPr>
                  <w:rStyle w:val="InternetLink"/>
                  <w:rFonts w:ascii="Times New Roman" w:hAnsi="Times New Roman"/>
                  <w:color w:val="0000FF"/>
                  <w:sz w:val="20"/>
                  <w:u w:val="single"/>
                </w:rPr>
                <w:t>Certification of Principal Executive Officer Required Under Rule 13a-14(b) of the Securities Exchange Act of 1934, as amended, and 18 U.S.C. §1350</w:t>
              </w:r>
            </w:hyperlink>
            <w:hyperlink w:anchor="slno-ex32_1.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32_2.htm">
              <w:r>
                <w:rPr>
                  <w:rStyle w:val="InternetLink"/>
                  <w:rFonts w:ascii="Times New Roman" w:hAnsi="Times New Roman"/>
                  <w:color w:val="0000FF"/>
                  <w:sz w:val="20"/>
                  <w:u w:val="single"/>
                </w:rPr>
                <w:t>Certification of Principal Financial and Accounting Officer Required Under Rule 13a-14(b) of the Securities Exchange Act of 1934, as amended, and 18 U.S.C. §1350</w:t>
              </w:r>
            </w:hyperlink>
            <w:hyperlink w:anchor="slno-ex32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06"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hyperlink w:anchor="slno-ex97_1.htm">
              <w:r>
                <w:rPr>
                  <w:rStyle w:val="InternetLink"/>
                  <w:rFonts w:ascii="Times New Roman" w:hAnsi="Times New Roman"/>
                  <w:color w:val="0000FF"/>
                  <w:sz w:val="20"/>
                  <w:u w:val="single"/>
                </w:rPr>
                <w:t>Compensation Recovery Policy</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X</w:t>
            </w:r>
          </w:p>
        </w:tc>
      </w:tr>
      <w:tr>
        <w:trPr/>
        <w:tc>
          <w:tcPr>
            <w:tcW w:w="706" w:type="dxa"/>
            <w:tcBorders/>
            <w:vAlign w:val="center"/>
          </w:tcPr>
          <w:p>
            <w:pPr>
              <w:pStyle w:val="TableContents"/>
              <w:pBdr/>
              <w:bidi w:val="0"/>
              <w:spacing w:before="0" w:after="283"/>
              <w:ind w:left="0" w:right="0" w:hanging="240"/>
              <w:jc w:val="center"/>
              <w:rPr/>
            </w:pPr>
            <w:r>
              <w:rPr/>
              <w:t> </w:t>
            </w:r>
          </w:p>
        </w:tc>
        <w:tc>
          <w:tcPr>
            <w:tcW w:w="146" w:type="dxa"/>
            <w:tcBorders/>
            <w:vAlign w:val="center"/>
          </w:tcPr>
          <w:p>
            <w:pPr>
              <w:pStyle w:val="TableContents"/>
              <w:bidi w:val="0"/>
              <w:spacing w:before="0" w:after="283"/>
              <w:jc w:val="left"/>
              <w:rPr/>
            </w:pPr>
            <w:r>
              <w:rPr/>
              <w:t> </w:t>
            </w:r>
          </w:p>
        </w:tc>
        <w:tc>
          <w:tcPr>
            <w:tcW w:w="47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5172"/>
        <w:gridCol w:w="146"/>
        <w:gridCol w:w="146"/>
        <w:gridCol w:w="296"/>
        <w:gridCol w:w="397"/>
        <w:gridCol w:w="298"/>
        <w:gridCol w:w="146"/>
        <w:gridCol w:w="654"/>
        <w:gridCol w:w="146"/>
        <w:gridCol w:w="691"/>
        <w:gridCol w:w="146"/>
        <w:gridCol w:w="1067"/>
      </w:tblGrid>
      <w:tr>
        <w:trPr/>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397"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7" w:type="dxa"/>
            <w:tcBorders/>
            <w:shd w:fill="FFFFFF" w:val="clear"/>
            <w:vAlign w:val="center"/>
          </w:tcPr>
          <w:p>
            <w:pPr>
              <w:pStyle w:val="TableContents"/>
              <w:bidi w:val="0"/>
              <w:spacing w:before="0" w:after="283"/>
              <w:jc w:val="left"/>
              <w:rPr>
                <w:sz w:val="4"/>
                <w:szCs w:val="4"/>
              </w:rPr>
            </w:pPr>
            <w:r>
              <w:rPr>
                <w:sz w:val="4"/>
                <w:szCs w:val="4"/>
              </w:rPr>
            </w:r>
          </w:p>
        </w:tc>
      </w:tr>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3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center"/>
              <w:rPr/>
            </w:pPr>
            <w:r>
              <w:rPr/>
              <w:t> </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4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7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5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Herewith</w:t>
            </w:r>
          </w:p>
        </w:tc>
      </w:tr>
      <w:tr>
        <w:trPr/>
        <w:tc>
          <w:tcPr>
            <w:tcW w:w="754"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54"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X</w:t>
            </w:r>
          </w:p>
        </w:tc>
      </w:tr>
      <w:tr>
        <w:trPr/>
        <w:tc>
          <w:tcPr>
            <w:tcW w:w="75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ind w:left="0" w:right="0" w:firstLine="240"/>
              <w:jc w:val="right"/>
              <w:rPr/>
            </w:pPr>
            <w:r>
              <w:rPr/>
              <w:t> </w:t>
            </w:r>
          </w:p>
        </w:tc>
      </w:tr>
      <w:tr>
        <w:trPr/>
        <w:tc>
          <w:tcPr>
            <w:tcW w:w="754" w:type="dxa"/>
            <w:tcBorders/>
            <w:vAlign w:val="center"/>
          </w:tcPr>
          <w:p>
            <w:pPr>
              <w:pStyle w:val="TableContents"/>
              <w:pBdr/>
              <w:bidi w:val="0"/>
              <w:spacing w:before="0" w:after="283"/>
              <w:ind w:left="0" w:right="0" w:hanging="240"/>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1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067" w:type="dxa"/>
            <w:tcBorders/>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signatures"/>
      <w:bookmarkEnd w:id="35"/>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5403" w:type="dxa"/>
        <w:jc w:val="left"/>
        <w:tblInd w:w="0" w:type="dxa"/>
        <w:tblLayout w:type="fixed"/>
        <w:tblCellMar>
          <w:top w:w="28" w:type="dxa"/>
          <w:left w:w="28" w:type="dxa"/>
          <w:bottom w:w="28" w:type="dxa"/>
          <w:right w:w="28" w:type="dxa"/>
        </w:tblCellMar>
      </w:tblPr>
      <w:tblGrid>
        <w:gridCol w:w="1786"/>
        <w:gridCol w:w="406"/>
        <w:gridCol w:w="3211"/>
      </w:tblGrid>
      <w:tr>
        <w:trPr/>
        <w:tc>
          <w:tcPr>
            <w:tcW w:w="1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Soleno Therapeutics, Inc.</w:t>
            </w:r>
          </w:p>
        </w:tc>
      </w:tr>
      <w:tr>
        <w:trPr/>
        <w:tc>
          <w:tcPr>
            <w:tcW w:w="17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6,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16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person whose individual signature appears below hereby authorizes and appoints Anish Bhatnagar,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10150" w:type="dxa"/>
        <w:jc w:val="left"/>
        <w:tblInd w:w="0" w:type="dxa"/>
        <w:tblLayout w:type="fixed"/>
        <w:tblCellMar>
          <w:top w:w="28" w:type="dxa"/>
          <w:left w:w="28" w:type="dxa"/>
          <w:bottom w:w="28" w:type="dxa"/>
          <w:right w:w="28" w:type="dxa"/>
        </w:tblCellMar>
      </w:tblPr>
      <w:tblGrid>
        <w:gridCol w:w="2236"/>
        <w:gridCol w:w="146"/>
        <w:gridCol w:w="6286"/>
        <w:gridCol w:w="146"/>
        <w:gridCol w:w="1336"/>
      </w:tblGrid>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vAlign w:val="center"/>
          </w:tcPr>
          <w:p>
            <w:pPr>
              <w:pStyle w:val="TableContents"/>
              <w:bidi w:val="0"/>
              <w:spacing w:before="0" w:after="283"/>
              <w:jc w:val="center"/>
              <w:rPr/>
            </w:pPr>
            <w:r>
              <w:rPr/>
              <w:t> </w:t>
            </w:r>
          </w:p>
        </w:tc>
        <w:tc>
          <w:tcPr>
            <w:tcW w:w="6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ANISH BHATNAGAR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Anish Bhatnagar</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JAMES MACKANESS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Mackaness</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ERNEST MARIO</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Ernest Mario</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ANDREW SINCLAIR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Sinclair</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WILLIAM G. HARRIS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G. Harris</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GWEN MELINCOFF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Gwen Melincoff</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BIRGITTE VOLCK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Birgitte Volck</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 MATTHEW PAULS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Matthew Pauls</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336"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6" w:name="slno-ex10_58.htm"/>
      <w:bookmarkStart w:id="37" w:name="ksslnoex10_58"/>
      <w:bookmarkEnd w:id="36"/>
      <w:bookmarkEnd w:id="37"/>
      <w:r>
        <w:rPr>
          <w:rFonts w:ascii="Times New Roman" w:hAnsi="Times New Roman"/>
          <w:b/>
          <w:color w:val="000000"/>
          <w:sz w:val="20"/>
        </w:rPr>
        <w:t>Exhibit 10.58</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LICENSE AGREEMENT FOR SPACE AND SERVICES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THIS LICENSE AGREEMENT FOR SPACE AND SERVICES </w:t>
      </w:r>
      <w:r>
        <w:rPr>
          <w:rFonts w:ascii="Times New Roman" w:hAnsi="Times New Roman"/>
          <w:color w:val="000000"/>
          <w:sz w:val="20"/>
        </w:rPr>
        <w:t>(known as the “</w:t>
      </w:r>
      <w:r>
        <w:rPr>
          <w:rFonts w:ascii="Times New Roman" w:hAnsi="Times New Roman"/>
          <w:b/>
          <w:color w:val="000000"/>
          <w:sz w:val="20"/>
        </w:rPr>
        <w:t>Agreement</w:t>
      </w:r>
      <w:r>
        <w:rPr>
          <w:rFonts w:ascii="Times New Roman" w:hAnsi="Times New Roman"/>
          <w:color w:val="000000"/>
          <w:sz w:val="20"/>
        </w:rPr>
        <w:t>” or the “</w:t>
      </w:r>
      <w:r>
        <w:rPr>
          <w:rFonts w:ascii="Times New Roman" w:hAnsi="Times New Roman"/>
          <w:b/>
          <w:color w:val="000000"/>
          <w:sz w:val="20"/>
        </w:rPr>
        <w:t>License</w:t>
      </w:r>
      <w:r>
        <w:rPr>
          <w:rFonts w:ascii="Times New Roman" w:hAnsi="Times New Roman"/>
          <w:color w:val="000000"/>
          <w:sz w:val="20"/>
        </w:rPr>
        <w:t xml:space="preserve">”) is made and entered into as of the </w:t>
      </w:r>
      <w:r>
        <w:rPr>
          <w:rFonts w:ascii="Times New Roman" w:hAnsi="Times New Roman"/>
          <w:color w:val="000000"/>
          <w:sz w:val="20"/>
          <w:u w:val="single"/>
        </w:rPr>
        <w:t>8</w:t>
      </w:r>
      <w:r>
        <w:rPr>
          <w:rFonts w:ascii="Times New Roman" w:hAnsi="Times New Roman"/>
          <w:color w:val="000000"/>
          <w:sz w:val="13"/>
          <w:u w:val="single"/>
        </w:rPr>
        <w:t xml:space="preserve">th </w:t>
      </w:r>
      <w:r>
        <w:rPr>
          <w:rFonts w:ascii="Times New Roman" w:hAnsi="Times New Roman"/>
          <w:color w:val="000000"/>
          <w:sz w:val="20"/>
        </w:rPr>
        <w:t xml:space="preserve">day of </w:t>
      </w:r>
      <w:r>
        <w:rPr>
          <w:rFonts w:ascii="Times New Roman" w:hAnsi="Times New Roman"/>
          <w:color w:val="000000"/>
          <w:sz w:val="20"/>
          <w:u w:val="single"/>
        </w:rPr>
        <w:t xml:space="preserve">February </w:t>
      </w:r>
      <w:r>
        <w:rPr>
          <w:rFonts w:ascii="Times New Roman" w:hAnsi="Times New Roman"/>
          <w:color w:val="000000"/>
          <w:sz w:val="20"/>
        </w:rPr>
        <w:t xml:space="preserve">, 2024, by and among </w:t>
      </w:r>
      <w:r>
        <w:rPr>
          <w:rFonts w:ascii="Times New Roman" w:hAnsi="Times New Roman"/>
          <w:b/>
          <w:color w:val="000000"/>
          <w:sz w:val="20"/>
        </w:rPr>
        <w:t xml:space="preserve">HUDSON TOWERS AT SHORE CENTER, LLC, a Delaware limited liability company, </w:t>
      </w:r>
      <w:r>
        <w:rPr>
          <w:rFonts w:ascii="Times New Roman" w:hAnsi="Times New Roman"/>
          <w:color w:val="000000"/>
          <w:sz w:val="20"/>
        </w:rPr>
        <w:t>as licensor (“</w:t>
      </w:r>
      <w:r>
        <w:rPr>
          <w:rFonts w:ascii="Times New Roman" w:hAnsi="Times New Roman"/>
          <w:b/>
          <w:color w:val="000000"/>
          <w:sz w:val="20"/>
        </w:rPr>
        <w:t>Licensor</w:t>
      </w:r>
      <w:r>
        <w:rPr>
          <w:rFonts w:ascii="Times New Roman" w:hAnsi="Times New Roman"/>
          <w:color w:val="000000"/>
          <w:sz w:val="20"/>
        </w:rPr>
        <w:t xml:space="preserve">”) and </w:t>
      </w:r>
      <w:r>
        <w:rPr>
          <w:rFonts w:ascii="Times New Roman" w:hAnsi="Times New Roman"/>
          <w:b/>
          <w:color w:val="000000"/>
          <w:sz w:val="20"/>
        </w:rPr>
        <w:t xml:space="preserve">SOLENO THERAPEUTICS, INC., a Delaware corporation, </w:t>
      </w:r>
      <w:r>
        <w:rPr>
          <w:rFonts w:ascii="Times New Roman" w:hAnsi="Times New Roman"/>
          <w:color w:val="000000"/>
          <w:sz w:val="20"/>
        </w:rPr>
        <w:t>as licensee (“</w:t>
      </w:r>
      <w:r>
        <w:rPr>
          <w:rFonts w:ascii="Times New Roman" w:hAnsi="Times New Roman"/>
          <w:b/>
          <w:color w:val="000000"/>
          <w:sz w:val="20"/>
        </w:rPr>
        <w:t>Licensee</w:t>
      </w:r>
      <w:r>
        <w:rPr>
          <w:rFonts w:ascii="Times New Roman" w:hAnsi="Times New Roman"/>
          <w:color w:val="000000"/>
          <w:sz w:val="20"/>
        </w:rPr>
        <w:t>”). Pursuant to the terms of this License, Licensor agrees to license the Licensed Space to Licensee, together with the non-exclusive right to use any portions of the Building designated for the common use of tenants and others (the “</w:t>
      </w:r>
      <w:r>
        <w:rPr>
          <w:rFonts w:ascii="Times New Roman" w:hAnsi="Times New Roman"/>
          <w:b/>
          <w:color w:val="000000"/>
          <w:sz w:val="20"/>
        </w:rPr>
        <w:t>Common Areas</w:t>
      </w:r>
      <w:r>
        <w:rPr>
          <w:rFonts w:ascii="Times New Roman" w:hAnsi="Times New Roman"/>
          <w:color w:val="000000"/>
          <w:sz w:val="2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Basic License Information.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40" w:after="283"/>
        <w:jc w:val="both"/>
        <w:rPr/>
      </w:pPr>
      <w:r>
        <w:rPr>
          <w:color w:val="000000"/>
        </w:rPr>
        <w:t>“</w:t>
      </w:r>
      <w:r>
        <w:rPr>
          <w:rFonts w:ascii="Times New Roman" w:hAnsi="Times New Roman"/>
          <w:b/>
          <w:color w:val="000000"/>
          <w:sz w:val="20"/>
        </w:rPr>
        <w:t xml:space="preserve">Building” </w:t>
      </w:r>
      <w:r>
        <w:rPr>
          <w:rFonts w:ascii="Times New Roman" w:hAnsi="Times New Roman"/>
          <w:color w:val="000000"/>
          <w:sz w:val="20"/>
        </w:rPr>
        <w:t xml:space="preserve">shall mean the building located at 203 Redwood Shores Parkway, Redwood City, California, and commonly known as Towers @ Shores - 203 Redwood Shores. The </w:t>
      </w:r>
      <w:r>
        <w:rPr>
          <w:color w:val="000000"/>
        </w:rPr>
        <w:t>“</w:t>
      </w:r>
      <w:r>
        <w:rPr>
          <w:rFonts w:ascii="Times New Roman" w:hAnsi="Times New Roman"/>
          <w:b/>
          <w:color w:val="000000"/>
          <w:sz w:val="20"/>
        </w:rPr>
        <w:t xml:space="preserve">Property” </w:t>
      </w:r>
      <w:r>
        <w:rPr>
          <w:rFonts w:ascii="Times New Roman" w:hAnsi="Times New Roman"/>
          <w:color w:val="000000"/>
          <w:sz w:val="20"/>
        </w:rPr>
        <w:t>means the Building and the parcel(s) of land upon which it is located.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40" w:after="283"/>
        <w:jc w:val="both"/>
        <w:rPr/>
      </w:pPr>
      <w:r>
        <w:rPr>
          <w:color w:val="000000"/>
        </w:rPr>
        <w:t>“</w:t>
      </w:r>
      <w:r>
        <w:rPr>
          <w:rFonts w:ascii="Times New Roman" w:hAnsi="Times New Roman"/>
          <w:b/>
          <w:color w:val="000000"/>
          <w:sz w:val="20"/>
        </w:rPr>
        <w:t xml:space="preserve">Licensed Space” </w:t>
      </w:r>
      <w:r>
        <w:rPr>
          <w:rFonts w:ascii="Times New Roman" w:hAnsi="Times New Roman"/>
          <w:color w:val="000000"/>
          <w:sz w:val="20"/>
        </w:rPr>
        <w:t xml:space="preserve">shall mean the area shown on </w:t>
      </w:r>
      <w:r>
        <w:rPr>
          <w:rFonts w:ascii="Times New Roman" w:hAnsi="Times New Roman"/>
          <w:b/>
          <w:color w:val="000000"/>
          <w:sz w:val="20"/>
          <w:u w:val="single"/>
        </w:rPr>
        <w:t>Exhibit A</w:t>
      </w:r>
      <w:r>
        <w:rPr>
          <w:color w:val="000000"/>
        </w:rPr>
        <w:t xml:space="preserve"> </w:t>
      </w:r>
      <w:r>
        <w:rPr>
          <w:rFonts w:ascii="Times New Roman" w:hAnsi="Times New Roman"/>
          <w:color w:val="000000"/>
          <w:sz w:val="20"/>
        </w:rPr>
        <w:t>and known as (i) Suite 540 consisting of approximately 2,231 rentable square feet on the fifth floor of the Building and (ii) Suite 545 consisting of approximately1,910 rentable square feet on the fifth floor of the Building.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40" w:after="283"/>
        <w:jc w:val="both"/>
        <w:rPr/>
      </w:pPr>
      <w:r>
        <w:rPr>
          <w:color w:val="000000"/>
        </w:rPr>
        <w:t>“</w:t>
      </w:r>
      <w:r>
        <w:rPr>
          <w:rFonts w:ascii="Times New Roman" w:hAnsi="Times New Roman"/>
          <w:b/>
          <w:color w:val="000000"/>
          <w:sz w:val="20"/>
        </w:rPr>
        <w:t xml:space="preserve">License Period”: </w:t>
      </w:r>
      <w:r>
        <w:rPr>
          <w:rFonts w:ascii="Times New Roman" w:hAnsi="Times New Roman"/>
          <w:color w:val="000000"/>
          <w:sz w:val="20"/>
        </w:rPr>
        <w:t>shall mean the period starting on February 15, 2024 (the “</w:t>
      </w:r>
      <w:r>
        <w:rPr>
          <w:rFonts w:ascii="Times New Roman" w:hAnsi="Times New Roman"/>
          <w:b/>
          <w:color w:val="000000"/>
          <w:sz w:val="20"/>
        </w:rPr>
        <w:t>Start Date</w:t>
      </w:r>
      <w:r>
        <w:rPr>
          <w:color w:val="000000"/>
        </w:rPr>
        <w:t>”</w:t>
      </w:r>
      <w:r>
        <w:rPr>
          <w:rFonts w:ascii="Times New Roman" w:hAnsi="Times New Roman"/>
          <w:color w:val="000000"/>
          <w:sz w:val="20"/>
        </w:rPr>
        <w:t>), and ending on October 31, 2024 (the “</w:t>
      </w:r>
      <w:r>
        <w:rPr>
          <w:rFonts w:ascii="Times New Roman" w:hAnsi="Times New Roman"/>
          <w:b/>
          <w:color w:val="000000"/>
          <w:sz w:val="20"/>
        </w:rPr>
        <w:t>End Date</w:t>
      </w:r>
      <w:r>
        <w:rPr>
          <w:color w:val="000000"/>
        </w:rPr>
        <w:t>”</w:t>
      </w:r>
      <w:r>
        <w:rPr>
          <w:rFonts w:ascii="Times New Roman" w:hAnsi="Times New Roman"/>
          <w:color w:val="000000"/>
          <w:sz w:val="20"/>
        </w:rPr>
        <w:t>),</w:t>
      </w:r>
      <w:r>
        <w:rPr>
          <w:color w:val="000000"/>
        </w:rPr>
        <w:t xml:space="preserve"> </w:t>
      </w:r>
      <w:r>
        <w:rPr>
          <w:rFonts w:ascii="Times New Roman" w:hAnsi="Times New Roman"/>
          <w:color w:val="000000"/>
          <w:sz w:val="20"/>
        </w:rPr>
        <w:t xml:space="preserve">unless terminated earlier in accordance with this License, including, without limitation, </w:t>
      </w:r>
      <w:r>
        <w:rPr>
          <w:rFonts w:ascii="Times New Roman" w:hAnsi="Times New Roman"/>
          <w:color w:val="000000"/>
          <w:sz w:val="20"/>
          <w:u w:val="single"/>
        </w:rPr>
        <w:t>Section 1.3</w:t>
      </w:r>
      <w:r>
        <w:rPr>
          <w:color w:val="000000"/>
        </w:rPr>
        <w:t xml:space="preserve"> </w:t>
      </w:r>
      <w:r>
        <w:rPr>
          <w:rFonts w:ascii="Times New Roman" w:hAnsi="Times New Roman"/>
          <w:color w:val="000000"/>
          <w:sz w:val="20"/>
        </w:rPr>
        <w:t xml:space="preserve">of </w:t>
      </w:r>
      <w:r>
        <w:rPr>
          <w:rFonts w:ascii="Times New Roman" w:hAnsi="Times New Roman"/>
          <w:b/>
          <w:color w:val="000000"/>
          <w:sz w:val="20"/>
          <w:u w:val="single"/>
        </w:rPr>
        <w:t>Exhibit B</w:t>
      </w:r>
      <w:r>
        <w:rPr>
          <w:color w:val="000000"/>
        </w:rPr>
        <w:t xml:space="preserve"> </w:t>
      </w:r>
      <w:r>
        <w:rPr>
          <w:rFonts w:ascii="Times New Roman" w:hAnsi="Times New Roman"/>
          <w:color w:val="000000"/>
          <w:sz w:val="20"/>
        </w:rPr>
        <w:t>hereto. Notwithstanding the foregoing, Licensee may enter the Licensed Space before the Start Date (but no earlier than 15 days prior to the Start Date), solely for the purpose of installing telecommunications and data cabling, equipment, furnishings and other personal property in the Licensed Space. Other than the obligation to pay the Licensed Space Fee (as defined below), all of Licensee’s obligations hereunder shall apply during any period of such early entry.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40" w:after="283"/>
        <w:jc w:val="both"/>
        <w:rPr/>
      </w:pPr>
      <w:r>
        <w:rPr>
          <w:color w:val="000000"/>
        </w:rPr>
        <w:t>“</w:t>
      </w:r>
      <w:r>
        <w:rPr>
          <w:rFonts w:ascii="Times New Roman" w:hAnsi="Times New Roman"/>
          <w:b/>
          <w:color w:val="000000"/>
          <w:sz w:val="20"/>
        </w:rPr>
        <w:t xml:space="preserve">Licensed Space Fee”: </w:t>
      </w:r>
      <w:r>
        <w:rPr>
          <w:rFonts w:ascii="Times New Roman" w:hAnsi="Times New Roman"/>
          <w:color w:val="000000"/>
          <w:sz w:val="20"/>
        </w:rPr>
        <w:t>$16,564.00 per month, plus any associated state and local taxes.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40" w:after="283"/>
        <w:jc w:val="both"/>
        <w:rPr/>
      </w:pPr>
      <w:r>
        <w:rPr>
          <w:color w:val="000000"/>
        </w:rPr>
        <w:t>“</w:t>
      </w:r>
      <w:r>
        <w:rPr>
          <w:rFonts w:ascii="Times New Roman" w:hAnsi="Times New Roman"/>
          <w:b/>
          <w:color w:val="000000"/>
          <w:sz w:val="20"/>
        </w:rPr>
        <w:t xml:space="preserve">Security Deposit”: </w:t>
      </w:r>
      <w:r>
        <w:rPr>
          <w:rFonts w:ascii="Times New Roman" w:hAnsi="Times New Roman"/>
          <w:color w:val="000000"/>
          <w:sz w:val="20"/>
        </w:rPr>
        <w:t>$0.00.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240" w:after="283"/>
        <w:jc w:val="both"/>
        <w:rPr/>
      </w:pPr>
      <w:r>
        <w:rPr>
          <w:color w:val="000000"/>
        </w:rPr>
        <w:t>“</w:t>
      </w:r>
      <w:r>
        <w:rPr>
          <w:rFonts w:ascii="Times New Roman" w:hAnsi="Times New Roman"/>
          <w:b/>
          <w:color w:val="000000"/>
          <w:sz w:val="20"/>
        </w:rPr>
        <w:t xml:space="preserve">Notice Addresses”: </w:t>
      </w:r>
      <w:r>
        <w:rPr>
          <w:rFonts w:ascii="Times New Roman" w:hAnsi="Times New Roman"/>
          <w:color w:val="000000"/>
          <w:sz w:val="20"/>
        </w:rPr>
        <w:t>Prior to the Start Date, notices shall be sent to Licensee at: Suite 500 at the Building. On and after the Start Date, notices shall be sent to Licensee at the Licensed Space. Notices for Licensor shall be sent to: Hudson Towers at Shore Center, c/o Hudson Pacific Properties, 333 Twin Dolphin Drive, Suite 100, Redwood City, California 94065; Attn: Building manager. With copies to: Hudson Towers at Shore Center, c/o Hudson Pacific Properties, 333 Twin Dolphin Drive, Suite 100, Redwood City, California 94065; Attn: Managing Counsel and Hudson Towers at Shore Center, c/o Hudson Pacific Properties, 11601 Wilshire Boulevard, Suite 900, Los Angeles, California 90025; Attn: Lease Administration.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pPr>
      <w:r>
        <w:rPr>
          <w:rFonts w:ascii="Times New Roman" w:hAnsi="Times New Roman"/>
          <w:b/>
          <w:color w:val="000000"/>
          <w:sz w:val="20"/>
        </w:rPr>
        <w:t xml:space="preserve">Possession and Delivery. </w:t>
      </w:r>
      <w:r>
        <w:rPr>
          <w:rFonts w:ascii="Times New Roman" w:hAnsi="Times New Roman"/>
          <w:color w:val="000000"/>
          <w:sz w:val="20"/>
        </w:rPr>
        <w:t xml:space="preserve">The Licensed Space is accepted by Licensee in </w:t>
      </w:r>
      <w:r>
        <w:rPr>
          <w:color w:val="000000"/>
        </w:rPr>
        <w:t>“</w:t>
      </w:r>
      <w:r>
        <w:rPr>
          <w:rFonts w:ascii="Times New Roman" w:hAnsi="Times New Roman"/>
          <w:b/>
          <w:color w:val="000000"/>
          <w:sz w:val="20"/>
        </w:rPr>
        <w:t xml:space="preserve">as is” </w:t>
      </w:r>
      <w:r>
        <w:rPr>
          <w:rFonts w:ascii="Times New Roman" w:hAnsi="Times New Roman"/>
          <w:color w:val="000000"/>
          <w:sz w:val="20"/>
        </w:rPr>
        <w:t>condition and configuration. If, for any reason, Licensor is unable to provide use of the Licensed Space on the Start Date, Licensee agrees that the Start Date shall be automatically postponed until possession becomes available. Licensor’s failure to deliver possession of the Licensed Space shall not subject Licensor to any liability for loss or damage, nor shall it affect the validity of this Agreement. The parties agree that if Licensor does not deliver possession of the Licensed Space on or prior to February 15, 2024 (“</w:t>
      </w:r>
      <w:r>
        <w:rPr>
          <w:rFonts w:ascii="Times New Roman" w:hAnsi="Times New Roman"/>
          <w:b/>
          <w:color w:val="000000"/>
          <w:sz w:val="20"/>
        </w:rPr>
        <w:t>Required Start Date</w:t>
      </w:r>
      <w:r>
        <w:rPr>
          <w:color w:val="000000"/>
        </w:rPr>
        <w:t>”</w:t>
      </w:r>
      <w:r>
        <w:rPr>
          <w:rFonts w:ascii="Times New Roman" w:hAnsi="Times New Roman"/>
          <w:color w:val="000000"/>
          <w:sz w:val="20"/>
        </w:rPr>
        <w:t>), Licensee shall have the right to terminate this License by delivery of written notice to Licensor prior to the earlier to occur of (a) five (5) business days after the Required Start Date and (b) the date Licensor delivers possession of the Licensed Space to Licensee. Except as otherwise explicitly set forth herein, Licensor shall have no obligation to furnish any services to the Licensed Space or to the Licensee in connection herewith.</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pPr>
      <w:r>
        <w:rPr>
          <w:rFonts w:ascii="Times New Roman" w:hAnsi="Times New Roman"/>
          <w:b/>
          <w:color w:val="000000"/>
          <w:sz w:val="20"/>
        </w:rPr>
        <w:t xml:space="preserve">Fees. </w:t>
      </w:r>
      <w:r>
        <w:rPr>
          <w:color w:val="000000"/>
        </w:rPr>
        <w:t>“</w:t>
      </w:r>
      <w:r>
        <w:rPr>
          <w:rFonts w:ascii="Times New Roman" w:hAnsi="Times New Roman"/>
          <w:b/>
          <w:color w:val="000000"/>
          <w:sz w:val="20"/>
        </w:rPr>
        <w:t>Additional Fees</w:t>
      </w:r>
      <w:r>
        <w:rPr>
          <w:color w:val="000000"/>
        </w:rPr>
        <w:t xml:space="preserve">” </w:t>
      </w:r>
      <w:r>
        <w:rPr>
          <w:rFonts w:ascii="Times New Roman" w:hAnsi="Times New Roman"/>
          <w:color w:val="000000"/>
          <w:sz w:val="20"/>
        </w:rPr>
        <w:t>means all sums (exclusive of the Licensed Space Fee) that Licensee is required to pay Licensor. The Licensed Space Fee and Additional Fees are collectively referred to as “</w:t>
      </w:r>
      <w:r>
        <w:rPr>
          <w:rFonts w:ascii="Times New Roman" w:hAnsi="Times New Roman"/>
          <w:b/>
          <w:color w:val="000000"/>
          <w:sz w:val="20"/>
        </w:rPr>
        <w:t>Fees</w:t>
      </w:r>
      <w:r>
        <w:rPr>
          <w:color w:val="000000"/>
        </w:rPr>
        <w:t>”</w:t>
      </w:r>
      <w:r>
        <w:rPr>
          <w:rFonts w:ascii="Times New Roman" w:hAnsi="Times New Roman"/>
          <w:color w:val="000000"/>
          <w:sz w:val="20"/>
        </w:rPr>
        <w:t>. All Fees shall be payable by Licensee without any setoff or deduction. The Licensed Space Fee shall be due and payable in advance on the first day of each calendar month without notice or demand, provided that the first installment of the License Space Fee shall be payable upon the execution of this License. Any Additional Fees shall be due and payable by Licensee 30 days after billing by Licensor. All payments of Fees shall be by good and sufficient check or by other means (such as automatic debit or electronic transfer) acceptable to Licensor. If Licensee fails to pay any Fees when due, Licensee shall pay an administration charge equal to 5% of the past due Fees. Acceptance of less than the correct amount of Fees shall be considered a payment on account of the earliest Fee due. No endorsement or statement on a check or letter accompanying a check or payment shall be considered an accord and satisfaction. Licensee’s covenant to pay Fees is independent of every other covenant in this License.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both"/>
        <w:rPr/>
      </w:pPr>
      <w:r>
        <w:rPr>
          <w:rFonts w:ascii="Times New Roman" w:hAnsi="Times New Roman"/>
          <w:b/>
          <w:color w:val="000000"/>
          <w:sz w:val="20"/>
        </w:rPr>
        <w:t xml:space="preserve">Compliance with Laws; Use. </w:t>
      </w:r>
      <w:r>
        <w:rPr>
          <w:rFonts w:ascii="Times New Roman" w:hAnsi="Times New Roman"/>
          <w:color w:val="000000"/>
          <w:sz w:val="20"/>
        </w:rPr>
        <w:t>The Licensed Space shall be used only for general office purposes and for no other use whatsoever. Licensee and its employees, agents, contractors and invitees (the “</w:t>
      </w:r>
      <w:r>
        <w:rPr>
          <w:rFonts w:ascii="Times New Roman" w:hAnsi="Times New Roman"/>
          <w:b/>
          <w:color w:val="000000"/>
          <w:sz w:val="20"/>
        </w:rPr>
        <w:t>Licensee Controlled Parties</w:t>
      </w:r>
      <w:r>
        <w:rPr>
          <w:color w:val="000000"/>
        </w:rPr>
        <w:t>”</w:t>
      </w:r>
      <w:r>
        <w:rPr>
          <w:rFonts w:ascii="Times New Roman" w:hAnsi="Times New Roman"/>
          <w:color w:val="000000"/>
          <w:sz w:val="20"/>
        </w:rPr>
        <w:t>) shall comply with all statutes, codes, ordinances, orders, rules and regulations of any municipal or governmental entity (collectively referred to as “</w:t>
      </w:r>
      <w:r>
        <w:rPr>
          <w:rFonts w:ascii="Times New Roman" w:hAnsi="Times New Roman"/>
          <w:b/>
          <w:color w:val="000000"/>
          <w:sz w:val="20"/>
        </w:rPr>
        <w:t>Laws</w:t>
      </w:r>
      <w:r>
        <w:rPr>
          <w:color w:val="000000"/>
        </w:rPr>
        <w:t>”</w:t>
      </w:r>
      <w:r>
        <w:rPr>
          <w:rFonts w:ascii="Times New Roman" w:hAnsi="Times New Roman"/>
          <w:color w:val="000000"/>
          <w:sz w:val="20"/>
        </w:rPr>
        <w:t>) regarding the operation of Licensee’s business and the use and occupancy of the Licensed Space. Licensee shall comply with the rules and regulations of the Building (a copy of which is available in the Building management office and) which are incorporated herein by reference and such other reasonable rules and regulations adopted by Licensor from time to time.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pPr>
      <w:r>
        <w:rPr>
          <w:rFonts w:ascii="Times New Roman" w:hAnsi="Times New Roman"/>
          <w:b/>
          <w:color w:val="000000"/>
          <w:sz w:val="20"/>
        </w:rPr>
        <w:t xml:space="preserve">Security Deposit. </w:t>
      </w:r>
      <w:r>
        <w:rPr>
          <w:rFonts w:ascii="Times New Roman" w:hAnsi="Times New Roman"/>
          <w:color w:val="000000"/>
          <w:sz w:val="20"/>
        </w:rPr>
        <w:t>[Intentionally Omitted].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pPr>
      <w:r>
        <w:rPr>
          <w:rFonts w:ascii="Times New Roman" w:hAnsi="Times New Roman"/>
          <w:b/>
          <w:color w:val="000000"/>
          <w:sz w:val="20"/>
        </w:rPr>
        <w:t xml:space="preserve">Services. </w:t>
      </w:r>
      <w:r>
        <w:rPr>
          <w:rFonts w:ascii="Times New Roman" w:hAnsi="Times New Roman"/>
          <w:color w:val="000000"/>
          <w:sz w:val="20"/>
        </w:rPr>
        <w:t>Licensor agrees, at no additional charge to Licensee, to furnish Licensee with heat and air conditioning, repair and maintenance services and office cleaning services for normal office use in such reasonable quantities and during such reasonable hours as shall be reasonably determined by Licensor. Licensor’s repair and maintenance obligations shall include necessary maintenance and repairs to the structure, mechanical (including HVAC), electrical, plumbing and fire/life safety systems, Common Areas, roof and elevators located within and serving the Building. Licensor shall promptly make repairs (considering the nature and urgency of the repair) for which Licensor is responsible. Licensor shall provide and install, at Licensee’s sole cost and expense, any suite numbers and Licensee identification on the exterior of the Licensed Space using the standard graphics for the Building. Licensor’s failure, for any reason, to furnish any services or perform any maintenance and repairs shall not render Licensor liable to Licensee, constitute a constructive eviction, or give rise to an abatement of Fees.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pPr>
      <w:r>
        <w:rPr>
          <w:rFonts w:ascii="Times New Roman" w:hAnsi="Times New Roman"/>
          <w:b/>
          <w:color w:val="000000"/>
          <w:sz w:val="20"/>
        </w:rPr>
        <w:t xml:space="preserve">Repairs and Alterations. </w:t>
      </w:r>
      <w:r>
        <w:rPr>
          <w:rFonts w:ascii="Times New Roman" w:hAnsi="Times New Roman"/>
          <w:color w:val="000000"/>
          <w:sz w:val="20"/>
        </w:rPr>
        <w:t>Licensee shall not make alterations, additions or improvements to the Licensed Space, including the installation of any phone or data lines (collectively referred to as “</w:t>
      </w:r>
      <w:r>
        <w:rPr>
          <w:rFonts w:ascii="Times New Roman" w:hAnsi="Times New Roman"/>
          <w:b/>
          <w:color w:val="000000"/>
          <w:sz w:val="20"/>
        </w:rPr>
        <w:t>Alterations</w:t>
      </w:r>
      <w:r>
        <w:rPr>
          <w:color w:val="000000"/>
        </w:rPr>
        <w:t>”</w:t>
      </w:r>
      <w:r>
        <w:rPr>
          <w:rFonts w:ascii="Times New Roman" w:hAnsi="Times New Roman"/>
          <w:color w:val="000000"/>
          <w:sz w:val="20"/>
        </w:rPr>
        <w:t xml:space="preserve">), without first obtaining the written consent of Licensor in each instance, which Licensor may withhold in its sole and absolute discretion. For any Alteration, (a) Licensee, before commencing work, shall deliver to Licensor, and obtain Licensor’s approval of, plans and specifications; (b) Licensor, in its discretion, may require Licensee to obtain security for performance satisfactory to Licensor; (c) Licensee shall deliver to Licensor “as built” drawings (in CAD format, if requested by Licensor), completion affidavits, full and final lien waivers, and all governmental approvals; and (d) Licensee shall pay Licensor upon demand (i) Licensor’s reasonable out-of-pocket expenses incurred in reviewing the work, and (ii) a coordination fee equal to 5% of the cost of the work, except for the installation of any Lines (defined below). All Alterations shall become Licensor’s property upon installation and without compensation to Licensee. Notwithstanding the foregoing, unless otherwise notified by Licensor, Licensee, at its expense and before the expiration or earlier termination hereof, shall (a) remove any Alterations, (b) repair any resulting damage to the Building, and (c) restore the affected portion of the Building to its condition existing before the installation of such Alterations. If Licensee fails to complete such removal, repair or restoration when required, Licensor may do so at Licensee’s expense. Licensor, directly or through a contractor designated by Licensor, shall have the right to perform any Alterations requested by Licensee. Licensor shall be entitled to receive a market fee for the services it provides in connection with the performance of any such Alterations. Licensee shall make all payments for Alterations in a timely manner so as not to permit any mechanic’s or other liens to be placed upon the Building or Licensed Space in connection with any Alterations. Licensee shall fully discharge any such lien within 10 days after it first becomes aware of the same. Licensee shall not damage or deface the furnishings, walls, floors, ceilings or other portions of the Licensed Space, Common Areas, or Building. Licensor shall have the right to repair any damage caused by Licensee at Licensee’s sole cost and expense. Licensee shall reimburse Licensor for the reasonable cost of any such repairs within 10 days after receipt of an invoice, together with an administrative charge in an amount equal to 5% of the cost of the repairs. All Lines installed pursuant to this Agreement shall be (a) installed in accordance with this Section 7; and (b) clearly marked with adhesive plastic labels (or plastic tags attached to such Lines with wire) to show Licensee’s name, suite number, and the purpose of such Lines (i) every six (6) feet outside the Licensed Space (including the electrical room risers and any Common Areas), and (ii) at their termination points. Licensor may designate specific contractors for work relating to vertical Lines. Sufficient spare cables and space for additional cables shall be maintained for other occupants, as reasonably determined by Licensor. Unless otherwise notified by Licensor, Licensee, at its expense and before the expiration or earlier termination hereof, shall remove all Lines and repair any resulting damage. As used herein, </w:t>
      </w:r>
      <w:r>
        <w:rPr>
          <w:color w:val="000000"/>
        </w:rPr>
        <w:t>“</w:t>
      </w:r>
      <w:r>
        <w:rPr>
          <w:rFonts w:ascii="Times New Roman" w:hAnsi="Times New Roman"/>
          <w:b/>
          <w:color w:val="000000"/>
          <w:sz w:val="20"/>
        </w:rPr>
        <w:t xml:space="preserve">Lines” </w:t>
      </w:r>
      <w:r>
        <w:rPr>
          <w:rFonts w:ascii="Times New Roman" w:hAnsi="Times New Roman"/>
          <w:color w:val="000000"/>
          <w:sz w:val="20"/>
        </w:rPr>
        <w:t>means all communications or computer wires and cables serving the Licensed Space installed by or at the direction of Licensee.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pPr>
      <w:r>
        <w:rPr>
          <w:rFonts w:ascii="Times New Roman" w:hAnsi="Times New Roman"/>
          <w:b/>
          <w:color w:val="000000"/>
          <w:sz w:val="20"/>
        </w:rPr>
        <w:t xml:space="preserve">Entry by Licensor. </w:t>
      </w:r>
      <w:r>
        <w:rPr>
          <w:rFonts w:ascii="Times New Roman" w:hAnsi="Times New Roman"/>
          <w:color w:val="000000"/>
          <w:sz w:val="20"/>
        </w:rPr>
        <w:t>Licensor may enter the Licensed Space to inspect or show the Licensed Space, to clean and make repairs, alterations or additions to the Licensed Space, and to conduct or facilitate repairs, alterations or additions to any portion of the Building. Except in emergencies or to provide janitorial and other Building services, Licensor shall provide Licensee with 24 hours prior notice of entry into the Licensed Space, which may be given orally. Any such entry shall not (a) entitle Licensee to any abatement of the Licensed Space Fee or any other charges hereunder, (b) subject Licensor to any claims or liability or (c) be considered a constructive eviction.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pPr>
      <w:r>
        <w:rPr>
          <w:rFonts w:ascii="Times New Roman" w:hAnsi="Times New Roman"/>
          <w:b/>
          <w:color w:val="000000"/>
          <w:sz w:val="20"/>
        </w:rPr>
        <w:t xml:space="preserve">Assignment and Subletting. </w:t>
      </w:r>
      <w:r>
        <w:rPr>
          <w:rFonts w:ascii="Times New Roman" w:hAnsi="Times New Roman"/>
          <w:color w:val="000000"/>
          <w:sz w:val="20"/>
        </w:rPr>
        <w:t>Licensee shall not assign, sublicense, transfer or encumber any interest in this License or allow any third party to use any portion of the Licensed Space (collectively or individually, a “</w:t>
      </w:r>
      <w:r>
        <w:rPr>
          <w:rFonts w:ascii="Times New Roman" w:hAnsi="Times New Roman"/>
          <w:b/>
          <w:color w:val="000000"/>
          <w:sz w:val="20"/>
        </w:rPr>
        <w:t>Transfer</w:t>
      </w:r>
      <w:r>
        <w:rPr>
          <w:color w:val="000000"/>
        </w:rPr>
        <w:t>”</w:t>
      </w:r>
      <w:r>
        <w:rPr>
          <w:rFonts w:ascii="Times New Roman" w:hAnsi="Times New Roman"/>
          <w:color w:val="000000"/>
          <w:sz w:val="20"/>
        </w:rPr>
        <w:t>). Any Transfer or attempted Transfer shall be a default by Licensee and, in addition to any other rights and remedies, shall entitle Licensor to terminate this License.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pPr>
      <w:r>
        <w:rPr>
          <w:rFonts w:ascii="Times New Roman" w:hAnsi="Times New Roman"/>
          <w:b/>
          <w:color w:val="000000"/>
          <w:sz w:val="20"/>
        </w:rPr>
        <w:t xml:space="preserve">Indemnity and Waiver of Claims. </w:t>
      </w:r>
      <w:r>
        <w:rPr>
          <w:rFonts w:ascii="Times New Roman" w:hAnsi="Times New Roman"/>
          <w:color w:val="000000"/>
          <w:sz w:val="20"/>
        </w:rPr>
        <w:t>Except to the extent caused by the negligence or willful misconduct of Licensor, Licensee shall indemnify, defend and hold Licensor, and its owners, partners, principals, members, trustees, officers, directors, shareholders, agents, employees and lenders (“</w:t>
      </w:r>
      <w:r>
        <w:rPr>
          <w:rFonts w:ascii="Times New Roman" w:hAnsi="Times New Roman"/>
          <w:b/>
          <w:color w:val="000000"/>
          <w:sz w:val="20"/>
        </w:rPr>
        <w:t>Licensor Related Parties</w:t>
      </w:r>
      <w:r>
        <w:rPr>
          <w:color w:val="000000"/>
        </w:rPr>
        <w:t>”</w:t>
      </w:r>
      <w:r>
        <w:rPr>
          <w:rFonts w:ascii="Times New Roman" w:hAnsi="Times New Roman"/>
          <w:color w:val="000000"/>
          <w:sz w:val="20"/>
        </w:rPr>
        <w:t>) harmless against and from all liabilities, damages, claims, and expenses, including, without limitation, reasonable attorneys’ fees (if and to the extent permitted by Law), which may be imposed upon, incurred by or asserted against Licensor or any of the Licensor Related Parties and arising out of or in connection with any damage or injury occurring in the Licensed Space or the Common Areas, or any acts or omissions (including violations of Law) of Licensee or any Licensee Controlled Parties. Licensee hereby waives all claims against Licensor and the Licensor Related Parties for (i) any damage to person or property (or resulting from the loss of use thereof), except to the extent caused by the negligence or willful misconduct of Licensor or any Licensor Related Party and (ii) any failure to prevent or control any criminal or otherwise wrongful conduct by any third party or to apprehend any third party who has engaged in such conduct. Notwithstanding any provision herein to the contrary, neither Licensor nor any Licensor Related Party shall be liable for (and Licensee hereby waives any claims for) any injury or damage to, or interference with, Licensee’s business, including loss of profits, loss of rents or other revenues, loss of business opportunity, loss of goodwill or loss of use, or for any form of special or consequential damage.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pPr>
      <w:r>
        <w:rPr>
          <w:rFonts w:ascii="Times New Roman" w:hAnsi="Times New Roman"/>
          <w:b/>
          <w:color w:val="000000"/>
          <w:sz w:val="20"/>
        </w:rPr>
        <w:t xml:space="preserve">Insurance. </w:t>
      </w:r>
      <w:r>
        <w:rPr>
          <w:rFonts w:ascii="Times New Roman" w:hAnsi="Times New Roman"/>
          <w:color w:val="000000"/>
          <w:sz w:val="20"/>
        </w:rPr>
        <w:t>Licensee shall carry and maintain: (1) Commercial General Liability Insurance applicable to the Licensed Space and its appurtenances providing, on an occurrence basis, a minimum combined single limit of $3,000,000.00, (2) Property/Business Interruption Insurance written on an All Risk or Special Perils form, covering Licensee’s personal property for the full replacement cost value (subject to reasonable deductible amounts), (3) Worker’s Compensation to the extent required by Law and Employer’s Liability of $1,000,000.00 per occurrence, and (4) Business Automobile Insurance covering bodily injury and property damage on all owned, hired, and non-owned automobiles with, on an occurrence basis, a minimum combined single limit of $3,000,000.00. Any company writing any of Licensee’s insurance shall have an A.M. Best rating of not less than A-VIII. Licensee’s policy for Commercial General Liability Insurance shall name Licensor (and its successors and assigns), the managing agent for the Building (and its successors and assigns), Licensor’s direct and indirect owners (and their successors and assigns), and their respective members, principals, beneficiaries, partners, officers, directors, employees, and agents, and other designees of Licensor and its successors as the interest of such designees shall appear, as additional insureds. At least two (2) business days prior to the Start Date, Licensee shall deliver to Licensor certificates of insurance evidencing the foregoing insurance and other requirements. All policies of Licensee’s insurance shall contain endorsements that the insurer(s) shall give Licensor and its designees at least 30 days’ advance written notice of any cancellation, termination, material change or lapse of insurance. If Licensee retains any third parties to provide services to the Licensed Space, including, without limitation, services for event planning, catering, parking or photography, such third party service providers will be required to maintain insurance upon the same terms and conditions set forth herein with respect to Licensee plus such additional insurance (including, but not limited to, Automobile and Worker’s Compensation liability insurance coverage) as Licensor deems appropriate for the type of services to be performed. Licensee and Licensor hereby waive and shall cause their respective insurance carriers to waive any and all rights of recovery against the other or against the trustees, members, principals, beneficiaries, partners, officers, directors, employees, mortgagee(s) and agents of the other, for loss of or damage to its property to the extent such loss or damage is covered by insurance or required to be covered by insurance in accordance with this License. For the purposes of this waiver, any deductible with respect to a Licensee’s insurance shall be deemed covered by and recoverable by Licensee under valid and collectable policies of insurance.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pPr>
      <w:r>
        <w:rPr>
          <w:rFonts w:ascii="Times New Roman" w:hAnsi="Times New Roman"/>
          <w:b/>
          <w:color w:val="000000"/>
          <w:sz w:val="20"/>
        </w:rPr>
        <w:t xml:space="preserve">Casualty Damage and Condemnation. </w:t>
      </w:r>
      <w:r>
        <w:rPr>
          <w:rFonts w:ascii="Times New Roman" w:hAnsi="Times New Roman"/>
          <w:color w:val="000000"/>
          <w:sz w:val="20"/>
        </w:rPr>
        <w:t>This License shall automatically terminate if any material part of the Licensed Space is rendered unusable as a result of a fire or other casualty. Such termination shall be effective as of the date of the fire or other casualty. Licensor shall not be liable for any loss or damage to Licensee’s property or to the business of Licensee resulting in any way from the fire or other casualty or Licensor’s performance or failure to perform repairs. This License shall automatically terminate if any material part of the Licensed Space is taken or condemned for any public or quasi-public use under Law, by eminent domain or private purchase in lieu thereof (a “</w:t>
      </w:r>
      <w:r>
        <w:rPr>
          <w:rFonts w:ascii="Times New Roman" w:hAnsi="Times New Roman"/>
          <w:b/>
          <w:color w:val="000000"/>
          <w:sz w:val="20"/>
        </w:rPr>
        <w:t>Taking</w:t>
      </w:r>
      <w:r>
        <w:rPr>
          <w:color w:val="000000"/>
        </w:rPr>
        <w:t>”</w:t>
      </w:r>
      <w:r>
        <w:rPr>
          <w:rFonts w:ascii="Times New Roman" w:hAnsi="Times New Roman"/>
          <w:color w:val="000000"/>
          <w:sz w:val="20"/>
        </w:rPr>
        <w:t>). Such termination shall be effective as of the date of the Taking. All compensation awarded for a Taking, or sale proceeds, shall be the property of Licensor.</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both"/>
        <w:rPr/>
      </w:pPr>
      <w:r>
        <w:rPr>
          <w:rFonts w:ascii="Times New Roman" w:hAnsi="Times New Roman"/>
          <w:b/>
          <w:color w:val="000000"/>
          <w:sz w:val="20"/>
        </w:rPr>
        <w:t xml:space="preserve">Events of Default. </w:t>
      </w:r>
      <w:r>
        <w:rPr>
          <w:rFonts w:ascii="Times New Roman" w:hAnsi="Times New Roman"/>
          <w:color w:val="000000"/>
          <w:sz w:val="20"/>
        </w:rPr>
        <w:t>Licensee shall be considered to be in default of this License upon the occurrence of any of the following events: (A) Licensee’s failure to pay when due all or any portion of the Fees, if the failure continues for 3 days after written notice to Licensee, which notice shall be in satisfaction of and not in addition to any notice required by Law (“</w:t>
      </w:r>
      <w:r>
        <w:rPr>
          <w:rFonts w:ascii="Times New Roman" w:hAnsi="Times New Roman"/>
          <w:b/>
          <w:color w:val="000000"/>
          <w:sz w:val="20"/>
        </w:rPr>
        <w:t>Monetary Default</w:t>
      </w:r>
      <w:r>
        <w:rPr>
          <w:color w:val="000000"/>
        </w:rPr>
        <w:t>”</w:t>
      </w:r>
      <w:r>
        <w:rPr>
          <w:rFonts w:ascii="Times New Roman" w:hAnsi="Times New Roman"/>
          <w:color w:val="000000"/>
          <w:sz w:val="20"/>
        </w:rPr>
        <w:t>); or (B) Licensee’s failure (other than a Monetary Default) to comply with any term, provision or covenant of this License, if the failure is not cured within 15 days after written notice to Licensee.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both"/>
        <w:rPr/>
      </w:pPr>
      <w:r>
        <w:rPr>
          <w:rFonts w:ascii="Times New Roman" w:hAnsi="Times New Roman"/>
          <w:b/>
          <w:color w:val="000000"/>
          <w:sz w:val="20"/>
        </w:rPr>
        <w:t xml:space="preserve">Remedies. </w:t>
      </w:r>
      <w:r>
        <w:rPr>
          <w:rFonts w:ascii="Times New Roman" w:hAnsi="Times New Roman"/>
          <w:color w:val="000000"/>
          <w:sz w:val="20"/>
        </w:rPr>
        <w:t>Upon any default, Licensor shall have the right without notice or demand (except as provided in Section 13) to terminate this License, in which case Licensee shall immediately surrender the Licensed Space to Licensor. If Licensee fails to surrender the Licensed Space, Licensor may, in compliance with applicable Law and without prejudice to any other right or remedy, enter upon and take possession of the Licensed Space. Licensee shall pay Licensor on demand the amount of all past due Fees, plus other losses and damages which Licensor may suffer as a result of Licensee’s default. In addition to the right to terminate this License and collect damages, Licensor shall have the right to pursue any other remedy now or hereafter available at Law or in equity.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both"/>
        <w:rPr/>
      </w:pPr>
      <w:r>
        <w:rPr>
          <w:rFonts w:ascii="Times New Roman" w:hAnsi="Times New Roman"/>
          <w:b/>
          <w:color w:val="000000"/>
          <w:sz w:val="20"/>
        </w:rPr>
        <w:t xml:space="preserve">Limitation of Liability. </w:t>
      </w:r>
      <w:r>
        <w:rPr>
          <w:rFonts w:ascii="Times New Roman" w:hAnsi="Times New Roman"/>
          <w:color w:val="000000"/>
          <w:sz w:val="20"/>
        </w:rPr>
        <w:t>NOTWITHSTANDING ANYTHING TO THE CONTRARY CONTAINED IN THIS LICENSE, THE LIABILITY OF LICENSOR (AND OF ANY SUCCESSOR) TO LICENSEE SHALL BE LIMITED TO THE TOTAL AMOUNT OF LICENSED SPACE FEES PAID BY LICENSEE. LICENSEE SHALL LOOK SOLELY TO FEES RECEIVED BY LICENSOR FOR THE RECOVERY OF ANY JUDGMENT OR AWARD AGAINST LICENSOR. NEITHER LICENSOR NOR ANY LICENSOR RELATED PARTY SHALL BE PERSONALLY LIABLE FOR ANY JUDGMENT OR DEFICIENCY. BEFORE FILING SUIT FOR AN ALLEGED DEFAULT BY LICENSOR, LICENSEE SHALL GIVE LICENSOR AND THE SECURITY HOLDER(S) WHOM LICENSEE HAS BEEN NOTIFIED HOLD SECURITY AGREEMENTS, NOTICE AND REASONABLE TIME TO CURE THE ALLEGED DEFAULT.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both"/>
        <w:rPr/>
      </w:pPr>
      <w:r>
        <w:rPr>
          <w:rFonts w:ascii="Times New Roman" w:hAnsi="Times New Roman"/>
          <w:b/>
          <w:color w:val="000000"/>
          <w:sz w:val="20"/>
        </w:rPr>
        <w:t xml:space="preserve">Holding Over. </w:t>
      </w:r>
      <w:r>
        <w:rPr>
          <w:rFonts w:ascii="Times New Roman" w:hAnsi="Times New Roman"/>
          <w:color w:val="000000"/>
          <w:sz w:val="20"/>
        </w:rPr>
        <w:t>For each and every month or portion thereof that Licensee continues to use or occupy the Licensed Space after the expiration or earlier termination of this License, Licensee shall pay Licensor an amount equal to 150% of the monthly Licensed Space Fee. Licensee’s payment of such amounts shall not be construed to extend the License Period or prevent Licensor from immediate recovery of possession of the Licensed Space by summary proceedings or otherwise.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40" w:after="283"/>
        <w:jc w:val="both"/>
        <w:rPr/>
      </w:pPr>
      <w:r>
        <w:rPr>
          <w:rFonts w:ascii="Times New Roman" w:hAnsi="Times New Roman"/>
          <w:b/>
          <w:color w:val="000000"/>
          <w:sz w:val="20"/>
        </w:rPr>
        <w:t xml:space="preserve">Subordination and Attornment; No Lease. </w:t>
      </w:r>
      <w:r>
        <w:rPr>
          <w:rFonts w:ascii="Times New Roman" w:hAnsi="Times New Roman"/>
          <w:color w:val="000000"/>
          <w:sz w:val="20"/>
        </w:rPr>
        <w:t>THIS LICENSE IS NOT INTENDED TO CREATE A LEASE OR ANY OTHER INTEREST IN REAL PROPERTY IN FAVOR OF LICENSEE, BUT MERELY CREATES A REVOCABLE LICENSE IN ACCORDANCE WITH THE TERMS HEREOF. LICENSEE ACKNOWLEDGES THAT ITS AGREEMENT TO TREAT THIS AGREEMENT AS A LICENSE FORMED A MATERIAL PART OF THE CONSIDERATION FOR LICENSOR’S AGREEMENT TO ENTER INTO THIS LICENSE. This Agreement shall be subject and subordinate to all existing and future ground or underlying leases, mortgages, trust deeds and other encumbrances against the Building or Property, all renewals, extensions, modifications, consolidations and replacements thereof (each, a “</w:t>
      </w:r>
      <w:r>
        <w:rPr>
          <w:rFonts w:ascii="Times New Roman" w:hAnsi="Times New Roman"/>
          <w:b/>
          <w:color w:val="000000"/>
          <w:sz w:val="20"/>
        </w:rPr>
        <w:t>Security Agreement</w:t>
      </w:r>
      <w:r>
        <w:rPr>
          <w:color w:val="000000"/>
        </w:rPr>
        <w:t>”</w:t>
      </w:r>
      <w:r>
        <w:rPr>
          <w:rFonts w:ascii="Times New Roman" w:hAnsi="Times New Roman"/>
          <w:color w:val="000000"/>
          <w:sz w:val="20"/>
        </w:rPr>
        <w:t>), and all advances made upon the security of such mortgages or trust deeds, unless in each case the holder of such Security Agreement (each, a “</w:t>
      </w:r>
      <w:r>
        <w:rPr>
          <w:rFonts w:ascii="Times New Roman" w:hAnsi="Times New Roman"/>
          <w:b/>
          <w:color w:val="000000"/>
          <w:sz w:val="20"/>
        </w:rPr>
        <w:t>Security Holder</w:t>
      </w:r>
      <w:r>
        <w:rPr>
          <w:color w:val="000000"/>
        </w:rPr>
        <w:t>”</w:t>
      </w:r>
      <w:r>
        <w:rPr>
          <w:rFonts w:ascii="Times New Roman" w:hAnsi="Times New Roman"/>
          <w:color w:val="000000"/>
          <w:sz w:val="20"/>
        </w:rPr>
        <w:t>) requires in writing that this Agreement be superior thereto. Upon any termination or foreclosure (or any delivery of a deed in lieu of foreclosure) of any Security Agreement, Licensee, upon request, shall attorn, without deduction or set-off, to the Security Holder or purchaser or any successor thereto and shall recognize such party as the licensor hereunder provided that such party agrees not to disturb Licensee’s occupancy so long as Licensee timely pays all sums due hereunder and otherwise performs its obligations hereunder. Within 10 days after request by Licensor, Licensee shall execute such further instruments as Licensor may reasonably deem necessary to evidence the subordination or superiority of this Agreement to any Security Agreement. Licensee waives any right it may have under Law to terminate or otherwise adversely affect this Agreement or Licensee’s obligations hereunder upon a foreclosure.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240" w:after="283"/>
        <w:jc w:val="both"/>
        <w:rPr/>
      </w:pPr>
      <w:r>
        <w:rPr>
          <w:rFonts w:ascii="Times New Roman" w:hAnsi="Times New Roman"/>
          <w:b/>
          <w:color w:val="000000"/>
          <w:sz w:val="20"/>
        </w:rPr>
        <w:t xml:space="preserve">Surrender of Licensed Space. </w:t>
      </w:r>
      <w:r>
        <w:rPr>
          <w:rFonts w:ascii="Times New Roman" w:hAnsi="Times New Roman"/>
          <w:color w:val="000000"/>
          <w:sz w:val="20"/>
        </w:rPr>
        <w:t>At the termination of this License, Licensee shall remove Licensee’s personal property from the Licensed Space, and quit and surrender the Licensed Space to Licensor, broom clean, and in good order, condition and repair, ordinary wear and tear and casualty excepted. If Licensee fails to remove any of Licensee’s personal property and/or Lines within 2 days after the termination of this License, Licensor, at Licensee’s sole cost and expense, shall be entitled (but not obligated) to remove, store or dispose of Licensee’s personal property. Licensor shall not be responsible for the value, preservation or safekeeping of Licensee’s personal property.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Relocation.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[Intentionally Omitted].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Licensor shall have the right to terminate this License if Licensor enters into a contract for the sale of the Building. Such cancellation shall be exercised by Licensor by the service of not less than 60 days’ written notice of such termination prior to or within 30 days after the sale of the Building. Such notice shall set forth the date upon which the termination will be effective. No money or other consideration shall be payable by Licensor to Licensee for Licensor’s exercise of this right, and the right is hereby reserved to Licensor and all purchasers, successors, assigns, transferees, and ground tenants of Licensor, as the case may be, and is in addition to all other rights of Licensor. Licensee has read the foregoing and understands that Licensor has a right to terminate this License as provided above.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Miscellaneous.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demands, approvals, consents or notices shall be in writing and delivered by hand or sent by registered or certified mail with return receipt requested, or sent by overnight or same day courier service at the party’s respective Notice Address(es)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set forth in Section l, with a copy to the third party. Each notice shall be deemed to have been received or given on the earlier to occur of actual delivery or the date on which delivery is refused, or, if Licensee has vacated the Licensed Space or other Notice Address without providing a new Notice Address, 3 days after notice is deposited in the U.S. mail or with a courier service in the manner described above. Any party may, at any time, change its Notice Address (other than to a post office box address) by giving the other parties written notice of the new address.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rPr>
        <w:t>Either party’s failure to declare a default immediately upon its occurrence, or delay in taking action for a default shall not constitute a waiver of the default, nor shall it constitute an estoppel. If either party institutes a suit against the other for violation of or to enforce any covenant, term, or condition of this License, the prevailing party shall be entitled to all of its costs and expenses, including, without limitation, reasonable attorneys’ fees. Licensor and Licensee hereby waive any right to trial by jury in any proceeding based upon a breach of this License.Whenever a period of time is prescribed for the taking of an action by Licensor or Licensee, the period of time for the performance of such action shall be extended by the number of days that the performance is actually delayed due to strikes, acts of God, shortages of labor or materials, epidemics, pandemics, public health emergencies, war, civil disturbances and other causes beyond the reasonable control of the performing party (“</w:t>
      </w:r>
      <w:r>
        <w:rPr>
          <w:rFonts w:ascii="Times New Roman" w:hAnsi="Times New Roman"/>
          <w:b/>
          <w:color w:val="000000"/>
          <w:sz w:val="20"/>
        </w:rPr>
        <w:t>Force Majeure</w:t>
      </w:r>
      <w:r>
        <w:rPr>
          <w:color w:val="000000"/>
        </w:rPr>
        <w:t>”</w:t>
      </w:r>
      <w:r>
        <w:rPr>
          <w:rFonts w:ascii="Times New Roman" w:hAnsi="Times New Roman"/>
          <w:color w:val="000000"/>
          <w:sz w:val="20"/>
        </w:rPr>
        <w:t>). However, events of Force Majeure shall not extend any period of time for the payment of sums payable by either party or any period of time for the written exercise of an option or right by either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License shall be interpreted and enforced in accordance with the Laws of the state or commonwealth in which the Building is located.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Licensor shall have the right to transfer and assign, in whole or in part, all of its ownership interest, rights and obligations in the Building or this License, including the Security Deposit, and upon transfer, Licensor, as the case may be, shall be released from any further obligations hereunder, and Licensee agrees to look solely to the successor in interest for the performance of such obligations and the return of any Security Deposit.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Licensee represents that it has dealt with no broker (other than with respect to Jones Lang LaSalle) in connection with this License. Licensee shall indemnify and hold Licensor and the Licensor Related Parties harmless from all claims of any other brokers claiming to have represented Licensee in connection with this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License constitutes the entire agreement between the parties and supersedes all prior agreements and understandings related to the Licensed Space. This License may be modified only by a written agreement signed by Licensor and Licensee.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Licensee represents and warrants to Licensor that each individual executing this License on behalf of Licensee is authorized to do so on behalf of Licensee and that Licensee is not, and the entities or individuals constituting Licensee or which may own or control Licensee or which may be owned or controlled by Licensee are not, among the individuals or entities identified on any list compiled pursuant to Executive Order 13224 for the purpose of identifying suspected terrorists.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party hereto, and their respective successors and assigns shall be authorized to rely upon the signatures of all of the parties hereto which are delivered by facsimile, PDF or DocuSign (or the like) as constituting a duly authorized, irrevocable, actual, current delivery hereof with original ink signatures of each person and entity. This Agreement may be executed in counterparts, each of which shall be deemed an original part and all of which together shall constitute a single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rPr>
        <w:t>Licensee hereby acknowledges and agrees that (a) there is a risk of exposure to pathogens (including, without limitation, the novel coronavirus SARS-CoV-2 and mutations, adaptations or variations thereof) (collectively, (“</w:t>
      </w:r>
      <w:r>
        <w:rPr>
          <w:rFonts w:ascii="Times New Roman" w:hAnsi="Times New Roman"/>
          <w:b/>
          <w:color w:val="000000"/>
          <w:sz w:val="20"/>
        </w:rPr>
        <w:t>Contagions</w:t>
      </w:r>
      <w:r>
        <w:rPr>
          <w:color w:val="000000"/>
        </w:rPr>
        <w:t>”</w:t>
      </w:r>
      <w:r>
        <w:rPr>
          <w:rFonts w:ascii="Times New Roman" w:hAnsi="Times New Roman"/>
          <w:color w:val="000000"/>
          <w:sz w:val="20"/>
        </w:rPr>
        <w:t>)) everywhere people are present, including at the Building; and (b) no precautions, including those implemented by Licensor and/or third parties (e.g., the CDC and applicable governmental agencies),can entirely eliminate the risk of exposure to Contagions. Accordingly, by entering into the Building, Licensee and Licensee’s members, officers, directors, employees and agents (each a “</w:t>
      </w:r>
      <w:r>
        <w:rPr>
          <w:rFonts w:ascii="Times New Roman" w:hAnsi="Times New Roman"/>
          <w:b/>
          <w:color w:val="000000"/>
          <w:sz w:val="20"/>
        </w:rPr>
        <w:t>Licensee Related Party</w:t>
      </w:r>
      <w:r>
        <w:rPr>
          <w:color w:val="000000"/>
        </w:rPr>
        <w:t>”</w:t>
      </w:r>
      <w:r>
        <w:rPr>
          <w:rFonts w:ascii="Times New Roman" w:hAnsi="Times New Roman"/>
          <w:color w:val="000000"/>
          <w:sz w:val="20"/>
        </w:rPr>
        <w:t>) knowingly and voluntarily assume the risk of exposure to Contagions. Licensee, on behalf of itself and, to the fullest extent permitted by applicable law, the Licensee Related Parties, hereby waives all liabilities, obligations, damages, penalties, claims, actions, costs, charges and expenses, including,without limitation, reasonable attorneys’ fees (for purposes of this section, “</w:t>
      </w:r>
      <w:r>
        <w:rPr>
          <w:rFonts w:ascii="Times New Roman" w:hAnsi="Times New Roman"/>
          <w:b/>
          <w:color w:val="000000"/>
          <w:sz w:val="20"/>
        </w:rPr>
        <w:t>Claims</w:t>
      </w:r>
      <w:r>
        <w:rPr>
          <w:color w:val="000000"/>
        </w:rPr>
        <w:t>”</w:t>
      </w:r>
      <w:r>
        <w:rPr>
          <w:rFonts w:ascii="Times New Roman" w:hAnsi="Times New Roman"/>
          <w:color w:val="000000"/>
          <w:sz w:val="20"/>
        </w:rPr>
        <w:t>) against Licensor and all Licensor Related Parties arising out of or in connection with exposure to Contagions at the Building, including, without limitation any damages due to illness, short- or long-term adverse health effects, disability and/or death (the “</w:t>
      </w:r>
      <w:r>
        <w:rPr>
          <w:rFonts w:ascii="Times New Roman" w:hAnsi="Times New Roman"/>
          <w:b/>
          <w:color w:val="000000"/>
          <w:sz w:val="20"/>
        </w:rPr>
        <w:t>Released Claims</w:t>
      </w:r>
      <w:r>
        <w:rPr>
          <w:color w:val="000000"/>
        </w:rPr>
        <w:t>”</w:t>
      </w:r>
      <w:r>
        <w:rPr>
          <w:rFonts w:ascii="Times New Roman" w:hAnsi="Times New Roman"/>
          <w:color w:val="000000"/>
          <w:sz w:val="20"/>
        </w:rPr>
        <w:t>). With regard to the Released Claims, Licensee expressly waives the provisions of California Civil Code Section 1542, which provides: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Licensee acknowledges that it has received the advice of legal counsel with respect to the aforementioned waiver and understands the terms thereof.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240" w:after="283"/>
        <w:jc w:val="left"/>
        <w:rPr/>
      </w:pPr>
      <w:r>
        <w:rPr>
          <w:rFonts w:ascii="Times New Roman" w:hAnsi="Times New Roman"/>
          <w:b/>
          <w:color w:val="000000"/>
          <w:sz w:val="20"/>
        </w:rPr>
        <w:t xml:space="preserve">Entire Agreement. </w:t>
      </w:r>
      <w:r>
        <w:rPr>
          <w:rFonts w:ascii="Times New Roman" w:hAnsi="Times New Roman"/>
          <w:color w:val="000000"/>
          <w:sz w:val="20"/>
        </w:rPr>
        <w:t xml:space="preserve">This License and the following exhibits and attachments, which are hereby incorporated into and made a part of this License, constitute the entire agreement among the parties: </w:t>
      </w:r>
      <w:r>
        <w:rPr>
          <w:rFonts w:ascii="Times New Roman" w:hAnsi="Times New Roman"/>
          <w:b/>
          <w:color w:val="000000"/>
          <w:sz w:val="20"/>
          <w:u w:val="single"/>
        </w:rPr>
        <w:t>Exhibit A</w:t>
      </w:r>
      <w:r>
        <w:rPr>
          <w:color w:val="000000"/>
        </w:rPr>
        <w:t xml:space="preserve"> </w:t>
      </w:r>
      <w:r>
        <w:rPr>
          <w:rFonts w:ascii="Times New Roman" w:hAnsi="Times New Roman"/>
          <w:color w:val="000000"/>
          <w:sz w:val="20"/>
        </w:rPr>
        <w:t xml:space="preserve">(Outline and Location of Licensed Space); and </w:t>
      </w:r>
      <w:r>
        <w:rPr>
          <w:rFonts w:ascii="Times New Roman" w:hAnsi="Times New Roman"/>
          <w:b/>
          <w:color w:val="000000"/>
          <w:sz w:val="20"/>
          <w:u w:val="single"/>
        </w:rPr>
        <w:t>Exhibit B</w:t>
      </w:r>
      <w:r>
        <w:rPr>
          <w:color w:val="000000"/>
        </w:rPr>
        <w:t xml:space="preserve"> </w:t>
      </w:r>
      <w:r>
        <w:rPr>
          <w:rFonts w:ascii="Times New Roman" w:hAnsi="Times New Roman"/>
          <w:color w:val="000000"/>
          <w:sz w:val="20"/>
        </w:rPr>
        <w:t>(Additional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Licensor and Licensee have executed this License as of the day and year first above written.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LICENSOR: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HUDSON TOWERS AT SHORE CENTER, LLC,</w:t>
      </w:r>
    </w:p>
    <w:p>
      <w:pPr>
        <w:pStyle w:val="TextBody"/>
        <w:bidi w:val="0"/>
        <w:jc w:val="left"/>
        <w:rPr>
          <w:rFonts w:ascii="Times New Roman" w:hAnsi="Times New Roman"/>
          <w:b/>
          <w:color w:val="000000"/>
          <w:sz w:val="20"/>
        </w:rPr>
      </w:pPr>
      <w:r>
        <w:rPr>
          <w:rFonts w:ascii="Times New Roman" w:hAnsi="Times New Roman"/>
          <w:b/>
          <w:color w:val="000000"/>
          <w:sz w:val="20"/>
        </w:rPr>
        <w:t>a Delaware limited liability company</w:t>
      </w:r>
    </w:p>
    <w:p>
      <w:pPr>
        <w:pStyle w:val="TextBody"/>
        <w:bidi w:val="0"/>
        <w:jc w:val="left"/>
        <w:rPr/>
      </w:pPr>
      <w:r>
        <w:rPr/>
        <w:t> </w:t>
      </w:r>
    </w:p>
    <w:tbl>
      <w:tblPr>
        <w:tblW w:w="3137" w:type="dxa"/>
        <w:jc w:val="left"/>
        <w:tblInd w:w="0" w:type="dxa"/>
        <w:tblLayout w:type="fixed"/>
        <w:tblCellMar>
          <w:top w:w="28" w:type="dxa"/>
          <w:left w:w="28" w:type="dxa"/>
          <w:bottom w:w="28" w:type="dxa"/>
          <w:right w:w="28" w:type="dxa"/>
        </w:tblCellMar>
      </w:tblPr>
      <w:tblGrid>
        <w:gridCol w:w="421"/>
        <w:gridCol w:w="2716"/>
      </w:tblGrid>
      <w:tr>
        <w:trPr/>
        <w:tc>
          <w:tcPr>
            <w:tcW w:w="42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Hudson Pacific Properties, L.P.,</w:t>
            </w:r>
          </w:p>
        </w:tc>
      </w:tr>
      <w:tr>
        <w:trPr/>
        <w:tc>
          <w:tcPr>
            <w:tcW w:w="421"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Maryland limited partnership,</w:t>
            </w:r>
          </w:p>
        </w:tc>
      </w:tr>
      <w:tr>
        <w:trPr/>
        <w:tc>
          <w:tcPr>
            <w:tcW w:w="421" w:type="dxa"/>
            <w:tcBorders/>
            <w:vAlign w:val="center"/>
          </w:tcPr>
          <w:p>
            <w:pPr>
              <w:pStyle w:val="TableContents"/>
              <w:bidi w:val="0"/>
              <w:spacing w:before="0" w:after="283"/>
              <w:jc w:val="left"/>
              <w:rPr/>
            </w:pPr>
            <w:r>
              <w:rPr/>
              <w:t> </w:t>
            </w:r>
          </w:p>
        </w:tc>
        <w:tc>
          <w:tcPr>
            <w:tcW w:w="27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its sole member</w:t>
            </w:r>
          </w:p>
        </w:tc>
      </w:tr>
    </w:tbl>
    <w:p>
      <w:pPr>
        <w:pStyle w:val="TextBody"/>
        <w:bidi w:val="0"/>
        <w:jc w:val="both"/>
        <w:rPr/>
      </w:pPr>
      <w:r>
        <w:rPr/>
        <w:t> </w:t>
      </w:r>
    </w:p>
    <w:tbl>
      <w:tblPr>
        <w:tblW w:w="3824" w:type="dxa"/>
        <w:jc w:val="left"/>
        <w:tblInd w:w="0" w:type="dxa"/>
        <w:tblLayout w:type="fixed"/>
        <w:tblCellMar>
          <w:top w:w="28" w:type="dxa"/>
          <w:left w:w="28" w:type="dxa"/>
          <w:bottom w:w="28" w:type="dxa"/>
          <w:right w:w="28" w:type="dxa"/>
        </w:tblCellMar>
      </w:tblPr>
      <w:tblGrid>
        <w:gridCol w:w="161"/>
        <w:gridCol w:w="406"/>
        <w:gridCol w:w="631"/>
        <w:gridCol w:w="262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Hudson Pacific Properties, Inc.,</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5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Maryland corporation,</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5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2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Kenneth Young</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2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Kenneth Young</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26"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Senior Vice President, Leasing</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LICENSEE:</w:t>
      </w:r>
    </w:p>
    <w:p>
      <w:pPr>
        <w:pStyle w:val="TextBody"/>
        <w:bidi w:val="0"/>
        <w:spacing w:before="240" w:after="283"/>
        <w:jc w:val="left"/>
        <w:rPr>
          <w:rFonts w:ascii="Times New Roman" w:hAnsi="Times New Roman"/>
          <w:sz w:val="20"/>
        </w:rPr>
      </w:pPr>
      <w:r>
        <w:rPr>
          <w:rFonts w:ascii="Times New Roman" w:hAnsi="Times New Roman"/>
          <w:b/>
          <w:color w:val="000000"/>
          <w:sz w:val="20"/>
        </w:rPr>
        <w:t>SOLENO THERAPEUTICS, INC., a Delaware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corporation</w:t>
      </w:r>
    </w:p>
    <w:tbl>
      <w:tblPr>
        <w:tblW w:w="2657" w:type="dxa"/>
        <w:jc w:val="left"/>
        <w:tblInd w:w="0" w:type="dxa"/>
        <w:tblLayout w:type="fixed"/>
        <w:tblCellMar>
          <w:top w:w="28" w:type="dxa"/>
          <w:left w:w="28" w:type="dxa"/>
          <w:bottom w:w="28" w:type="dxa"/>
          <w:right w:w="28" w:type="dxa"/>
        </w:tblCellMar>
      </w:tblPr>
      <w:tblGrid>
        <w:gridCol w:w="6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Jim Mackaness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Jim Mackaness</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tbl>
      <w:tblPr>
        <w:tblW w:w="7097" w:type="dxa"/>
        <w:jc w:val="left"/>
        <w:tblInd w:w="0" w:type="dxa"/>
        <w:tblLayout w:type="fixed"/>
        <w:tblCellMar>
          <w:top w:w="28" w:type="dxa"/>
          <w:left w:w="28" w:type="dxa"/>
          <w:bottom w:w="28" w:type="dxa"/>
          <w:right w:w="28" w:type="dxa"/>
        </w:tblCellMar>
      </w:tblPr>
      <w:tblGrid>
        <w:gridCol w:w="646"/>
        <w:gridCol w:w="6451"/>
      </w:tblGrid>
      <w:tr>
        <w:trPr/>
        <w:tc>
          <w:tcPr>
            <w:tcW w:w="6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51" w:type="dxa"/>
            <w:tcBorders/>
            <w:vAlign w:val="center"/>
          </w:tcPr>
          <w:p>
            <w:pPr>
              <w:pStyle w:val="TableContents"/>
              <w:pBdr>
                <w:bottom w:val="single" w:sz="6" w:space="1" w:color="000000"/>
              </w:pBdr>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451" w:type="dxa"/>
            <w:tcBorders/>
            <w:vAlign w:val="center"/>
          </w:tcPr>
          <w:p>
            <w:pPr>
              <w:pStyle w:val="TableContents"/>
              <w:pBdr>
                <w:bottom w:val="single" w:sz="6" w:space="1" w:color="000000"/>
              </w:pBdr>
              <w:bidi w:val="0"/>
              <w:spacing w:before="0" w:after="283"/>
              <w:jc w:val="left"/>
              <w:rPr/>
            </w:pPr>
            <w:r>
              <w:rPr/>
              <w:t> </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451" w:type="dxa"/>
            <w:tcBorders/>
            <w:vAlign w:val="center"/>
          </w:tcPr>
          <w:p>
            <w:pPr>
              <w:pStyle w:val="TableContents"/>
              <w:pBdr>
                <w:bottom w:val="single" w:sz="6" w:space="1" w:color="000000"/>
              </w:pBdr>
              <w:bidi w:val="0"/>
              <w:spacing w:before="0" w:after="283"/>
              <w:jc w:val="left"/>
              <w:rPr/>
            </w:pPr>
            <w:r>
              <w:rPr/>
              <w:t> </w:t>
            </w:r>
          </w:p>
        </w:tc>
      </w:tr>
      <w:tr>
        <w:trPr/>
        <w:tc>
          <w:tcPr>
            <w:tcW w:w="646" w:type="dxa"/>
            <w:tcBorders/>
            <w:vAlign w:val="center"/>
          </w:tcPr>
          <w:p>
            <w:pPr>
              <w:pStyle w:val="TableContents"/>
              <w:bidi w:val="0"/>
              <w:spacing w:before="0" w:after="283"/>
              <w:jc w:val="left"/>
              <w:rPr/>
            </w:pPr>
            <w:r>
              <w:rPr/>
              <w:t> </w:t>
            </w:r>
          </w:p>
        </w:tc>
        <w:tc>
          <w:tcPr>
            <w:tcW w:w="645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[secretary] [assistant secretary] [chief financial officer] [assistant treasurer]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OUTLINE AND LOCATION OF LICENSED SPACE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ADDITIONAL PROVISIONS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1.1.</w:t>
      </w:r>
    </w:p>
    <w:p>
      <w:pPr>
        <w:pStyle w:val="TextBody"/>
        <w:bidi w:val="0"/>
        <w:spacing w:before="240" w:after="283"/>
        <w:jc w:val="both"/>
        <w:rPr/>
      </w:pPr>
      <w:r>
        <w:rPr>
          <w:rFonts w:ascii="Times New Roman" w:hAnsi="Times New Roman"/>
          <w:b/>
          <w:color w:val="000000"/>
          <w:sz w:val="20"/>
          <w:u w:val="single"/>
        </w:rPr>
        <w:t>Energy Usage.</w:t>
      </w:r>
      <w:r>
        <w:rPr>
          <w:color w:val="000000"/>
        </w:rPr>
        <w:t xml:space="preserve"> </w:t>
      </w:r>
      <w:r>
        <w:rPr>
          <w:rFonts w:ascii="Times New Roman" w:hAnsi="Times New Roman"/>
          <w:color w:val="000000"/>
          <w:sz w:val="20"/>
        </w:rPr>
        <w:t>If Licensee (or any party claiming by, through or under Licensee) pays directly to the provider for any energy consumed at the Property, Licensee, promptly upon request, shall deliver to Licensor (or, at Licensor’s option, execute and deliver to Licensor an instrument enabling Licensor to obtain from such provider) any data about such consumption that Licensor, in its reasonable judgment, is required for benchmarking purposes or to disclose to a prospective buyer, tenant or mortgage lender under any applicable law.</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1.2.</w:t>
      </w:r>
    </w:p>
    <w:p>
      <w:pPr>
        <w:pStyle w:val="TextBody"/>
        <w:bidi w:val="0"/>
        <w:spacing w:before="240" w:after="283"/>
        <w:jc w:val="both"/>
        <w:rPr/>
      </w:pPr>
      <w:r>
        <w:rPr>
          <w:rFonts w:ascii="Times New Roman" w:hAnsi="Times New Roman"/>
          <w:b/>
          <w:color w:val="000000"/>
          <w:sz w:val="20"/>
          <w:u w:val="single"/>
        </w:rPr>
        <w:t>California Civil Code Section 1938.</w:t>
      </w:r>
      <w:r>
        <w:rPr>
          <w:color w:val="000000"/>
        </w:rPr>
        <w:t xml:space="preserve"> </w:t>
      </w:r>
      <w:r>
        <w:rPr>
          <w:rFonts w:ascii="Times New Roman" w:hAnsi="Times New Roman"/>
          <w:color w:val="000000"/>
          <w:sz w:val="20"/>
        </w:rPr>
        <w:t>Pursuant to California Civil Code § 1938, Licensor hereby states that the Licensed Space has not undergone inspection by a Certified Access Specialist (CASp) (defined in California Civil Code § 55.52).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pursuant to California Civil Code § 1938(e), Licensor hereby further states as follows: “A Certified Access Specialist (CASp) can inspect the Licensed Space and determine whether the Licensed Space complies with all of the applicable construction-related accessibility standards under state law. Although state law does not require a CASp inspection of the Licensed Space, the commercial property owner or lessor may not prohibit the lessee, tenant or licensee from obtaining a CASp inspection of the Licensed Space for the occupancy or potential occupancy of the lessee, tenant or licensee, if requested by the lessee,tenant or licensee. The parties shall mutually agree on the arrangements for the time and manner of the CASp inspection, the payment of the fee for the CASp inspection, and the cost of making any repairs necessary to correct violations of construction-related accessibility standards within the Licensed Space”.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the foregoing, Licensor and Licensee agree that if Licensee requests a CASp inspection of the Licensed Space, then Licensee shall pay (i) the fee for such inspection, and (ii) except as may be otherwise expressly provided in this Agreement, the cost of making any repairs necessary to correct violations of construction-related accessibility standards within the Licensed Space.</w:t>
      </w:r>
    </w:p>
    <w:p>
      <w:pPr>
        <w:pStyle w:val="TextBody"/>
        <w:bidi w:val="0"/>
        <w:spacing w:before="240" w:after="283"/>
        <w:jc w:val="left"/>
        <w:rPr>
          <w:rFonts w:ascii="Times New Roman" w:hAnsi="Times New Roman"/>
          <w:b/>
          <w:color w:val="000000"/>
          <w:sz w:val="20"/>
          <w:u w:val="single"/>
        </w:rPr>
      </w:pPr>
      <w:r>
        <w:rPr>
          <w:rFonts w:ascii="Times New Roman" w:hAnsi="Times New Roman"/>
          <w:b/>
          <w:color w:val="000000"/>
          <w:sz w:val="20"/>
          <w:u w:val="single"/>
        </w:rPr>
        <w:t>1.3.</w:t>
      </w:r>
    </w:p>
    <w:p>
      <w:pPr>
        <w:pStyle w:val="TextBody"/>
        <w:bidi w:val="0"/>
        <w:spacing w:before="240" w:after="283"/>
        <w:jc w:val="left"/>
        <w:rPr/>
      </w:pPr>
      <w:r>
        <w:rPr>
          <w:rFonts w:ascii="Times New Roman" w:hAnsi="Times New Roman"/>
          <w:b/>
          <w:color w:val="000000"/>
          <w:sz w:val="20"/>
          <w:u w:val="single"/>
        </w:rPr>
        <w:t>Licensee’s Acceleration Option.</w:t>
      </w:r>
      <w:r>
        <w:rPr>
          <w:color w:val="000000"/>
        </w:rPr>
        <w:t xml:space="preserve"> </w:t>
      </w:r>
      <w:r>
        <w:rPr>
          <w:rFonts w:ascii="Times New Roman" w:hAnsi="Times New Roman"/>
          <w:color w:val="000000"/>
          <w:sz w:val="20"/>
        </w:rPr>
        <w:t xml:space="preserve">Licensee shall have the right to accelerate (for purposes of this </w:t>
      </w:r>
      <w:r>
        <w:rPr>
          <w:rFonts w:ascii="Times New Roman" w:hAnsi="Times New Roman"/>
          <w:color w:val="000000"/>
          <w:sz w:val="20"/>
          <w:u w:val="single"/>
        </w:rPr>
        <w:t>Section 1.3</w:t>
      </w:r>
      <w:r>
        <w:rPr>
          <w:rFonts w:ascii="Times New Roman" w:hAnsi="Times New Roman"/>
          <w:color w:val="000000"/>
          <w:sz w:val="20"/>
        </w:rPr>
        <w:t>, “</w:t>
      </w:r>
      <w:r>
        <w:rPr>
          <w:rFonts w:ascii="Times New Roman" w:hAnsi="Times New Roman"/>
          <w:b/>
          <w:color w:val="000000"/>
          <w:sz w:val="20"/>
        </w:rPr>
        <w:t>Licensee’s Acceleration Option</w:t>
      </w:r>
      <w:r>
        <w:rPr>
          <w:color w:val="000000"/>
        </w:rPr>
        <w:t>”</w:t>
      </w:r>
      <w:r>
        <w:rPr>
          <w:rFonts w:ascii="Times New Roman" w:hAnsi="Times New Roman"/>
          <w:color w:val="000000"/>
          <w:sz w:val="20"/>
        </w:rPr>
        <w:t xml:space="preserve">) the End Date, with respect to the Licensed Space, to a date that is 60 days after Licensor’s receipt of written notice from Licensee (for purposes of this </w:t>
      </w:r>
      <w:r>
        <w:rPr>
          <w:rFonts w:ascii="Times New Roman" w:hAnsi="Times New Roman"/>
          <w:color w:val="000000"/>
          <w:sz w:val="20"/>
          <w:u w:val="single"/>
        </w:rPr>
        <w:t>Section 1.3</w:t>
      </w:r>
      <w:r>
        <w:rPr>
          <w:rFonts w:ascii="Times New Roman" w:hAnsi="Times New Roman"/>
          <w:color w:val="000000"/>
          <w:sz w:val="20"/>
        </w:rPr>
        <w:t>, the “</w:t>
      </w:r>
      <w:r>
        <w:rPr>
          <w:rFonts w:ascii="Times New Roman" w:hAnsi="Times New Roman"/>
          <w:b/>
          <w:color w:val="000000"/>
          <w:sz w:val="20"/>
        </w:rPr>
        <w:t>Accelerated End Date</w:t>
      </w:r>
      <w:r>
        <w:rPr>
          <w:color w:val="000000"/>
        </w:rPr>
        <w:t>”</w:t>
      </w:r>
      <w:r>
        <w:rPr>
          <w:rFonts w:ascii="Times New Roman" w:hAnsi="Times New Roman"/>
          <w:color w:val="000000"/>
          <w:sz w:val="20"/>
        </w:rPr>
        <w:t>). In such event (a) Licensee shall remain liable for the Licensed Space Fee and other sums due (if any) under the Agreement up to and including the Accelerated End Date even though billings for such amounts may occur subsequent to the Accelerated End Date and (b) the term of the Agreement shall expire as of the Accelerated End Date with the same force and effect as if such term were by the provisions of the Agreement, fixed to expire on the Accelerated Expiration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A</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OUTLINE AND LOCATION OF LICENSED SPACE</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457825" cy="447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3"/>
                    <a:stretch>
                      <a:fillRect/>
                    </a:stretch>
                  </pic:blipFill>
                  <pic:spPr bwMode="auto">
                    <a:xfrm>
                      <a:off x="0" y="0"/>
                      <a:ext cx="5457825" cy="447675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638800" cy="5114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4"/>
                    <a:stretch>
                      <a:fillRect/>
                    </a:stretch>
                  </pic:blipFill>
                  <pic:spPr bwMode="auto">
                    <a:xfrm>
                      <a:off x="0" y="0"/>
                      <a:ext cx="5638800" cy="5114925"/>
                    </a:xfrm>
                    <a:prstGeom prst="rect">
                      <a:avLst/>
                    </a:prstGeom>
                  </pic:spPr>
                </pic:pic>
              </a:graphicData>
            </a:graphic>
          </wp:inline>
        </w:drawing>
      </w: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181818"/>
          <w:sz w:val="24"/>
        </w:rPr>
      </w:pPr>
      <w:bookmarkStart w:id="38" w:name="slno-ex10_59.htm"/>
      <w:bookmarkStart w:id="39" w:name="ksslnoex10_59"/>
      <w:bookmarkEnd w:id="38"/>
      <w:bookmarkEnd w:id="39"/>
      <w:r>
        <w:rPr>
          <w:rFonts w:ascii="Times New Roman" w:hAnsi="Times New Roman"/>
          <w:b/>
          <w:color w:val="181818"/>
          <w:sz w:val="24"/>
        </w:rPr>
        <w:t>Exhibit 10.59</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SOLENO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(Adopted on March 5, 2024)</w:t>
      </w:r>
    </w:p>
    <w:p>
      <w:pPr>
        <w:pStyle w:val="TextBody"/>
        <w:bidi w:val="0"/>
        <w:spacing w:before="240" w:after="283"/>
        <w:jc w:val="both"/>
        <w:rPr>
          <w:rFonts w:ascii="Times New Roman" w:hAnsi="Times New Roman"/>
          <w:sz w:val="20"/>
        </w:rPr>
      </w:pPr>
      <w:r>
        <w:rPr>
          <w:rFonts w:ascii="Times New Roman" w:hAnsi="Times New Roman"/>
          <w:color w:val="000000"/>
          <w:sz w:val="24"/>
        </w:rPr>
        <w:t>Soleno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its members of the Board of Directors (the “</w:t>
      </w:r>
      <w:r>
        <w:rPr>
          <w:rFonts w:ascii="Times New Roman" w:hAnsi="Times New Roman"/>
          <w:b/>
          <w:color w:val="000000"/>
          <w:sz w:val="24"/>
        </w:rPr>
        <w:t>Board</w:t>
      </w:r>
      <w:r>
        <w:rPr>
          <w:rFonts w:ascii="Times New Roman" w:hAnsi="Times New Roman"/>
          <w:color w:val="000000"/>
          <w:sz w:val="24"/>
        </w:rPr>
        <w:t>,” and members of the Board, the “</w:t>
      </w:r>
      <w:r>
        <w:rPr>
          <w:rFonts w:ascii="Times New Roman" w:hAnsi="Times New Roman"/>
          <w:b/>
          <w:color w:val="000000"/>
          <w:sz w:val="24"/>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(the “</w:t>
      </w:r>
      <w:r>
        <w:rPr>
          <w:rFonts w:ascii="Times New Roman" w:hAnsi="Times New Roman"/>
          <w:b/>
          <w:color w:val="000000"/>
          <w:sz w:val="24"/>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is intended to formalize the Company’s policy regarding the compensation to its Outside Directors. Unless otherwise defined herein, capitalized terms used in this Policy will have the meaning given to such terms in the Company’s 2014 Equity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1.</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Cash Compensation</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Annual Cash Retainer</w:t>
      </w:r>
    </w:p>
    <w:p>
      <w:pPr>
        <w:pStyle w:val="TextBody"/>
        <w:bidi w:val="0"/>
        <w:spacing w:before="240" w:after="283"/>
        <w:jc w:val="both"/>
        <w:rPr>
          <w:rFonts w:ascii="Times New Roman" w:hAnsi="Times New Roman"/>
          <w:sz w:val="20"/>
        </w:rPr>
      </w:pPr>
      <w:r>
        <w:rPr>
          <w:rFonts w:ascii="Times New Roman" w:hAnsi="Times New Roman"/>
          <w:color w:val="000000"/>
          <w:sz w:val="24"/>
        </w:rPr>
        <w:t>Each Outside Director will be paid an annual cash retainer of $42,500. There are no per</w:t>
        <w:noBreakHyphen/>
        <w:t>meeting attendance fees for attending Board meetings.</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Non-Executive Chair / Committee Membership Annual Cash Retainer</w:t>
      </w:r>
    </w:p>
    <w:p>
      <w:pPr>
        <w:pStyle w:val="TextBody"/>
        <w:bidi w:val="0"/>
        <w:spacing w:before="240" w:after="283"/>
        <w:jc w:val="both"/>
        <w:rPr>
          <w:rFonts w:ascii="Times New Roman" w:hAnsi="Times New Roman"/>
          <w:sz w:val="20"/>
        </w:rPr>
      </w:pPr>
      <w:r>
        <w:rPr>
          <w:rFonts w:ascii="Times New Roman" w:hAnsi="Times New Roman"/>
          <w:color w:val="000000"/>
          <w:sz w:val="24"/>
        </w:rPr>
        <w:t>Each Outside Director who serves as Non-Executive Chair, or chair or member of a committee of the Board will be paid additional annual fees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274"/>
        <w:gridCol w:w="931"/>
      </w:tblGrid>
      <w:tr>
        <w:trPr/>
        <w:tc>
          <w:tcPr>
            <w:tcW w:w="927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Non-Executive Chair:</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$30,000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Chair of Audit Committee:</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$20,000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Member of Audit Committee (other than the Chair of the Audit Committee):</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$10,000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Chair of Nominating and Corporate Governance Committee:</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$10,000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Member of Nominating and Corporate Governance Committee (other than the Chair of the Nominating and Corporate Governance Committee):</w:t>
            </w:r>
          </w:p>
        </w:tc>
        <w:tc>
          <w:tcPr>
            <w:tcW w:w="931" w:type="dxa"/>
            <w:tcBorders/>
            <w:tcMar>
              <w:top w:w="0" w:type="dxa"/>
              <w:left w:w="0" w:type="dxa"/>
              <w:bottom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$5,000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Chair of Compensation Committee:</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$15,000</w:t>
            </w:r>
          </w:p>
        </w:tc>
      </w:tr>
      <w:tr>
        <w:trPr/>
        <w:tc>
          <w:tcPr>
            <w:tcW w:w="9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Member of Compensation Committee (other than the Chair of the Compensation Committee):</w:t>
            </w:r>
          </w:p>
        </w:tc>
        <w:tc>
          <w:tcPr>
            <w:tcW w:w="9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$7,500</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annual cash retainer and additional annual fee will be paid quarterly in arrears on a prorated basis.</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2.</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Equity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any Awards under this Policy or to determine the number of Shares to be covered by such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Initial Award</w:t>
      </w:r>
      <w:r>
        <w:rPr>
          <w:rFonts w:ascii="Times New Roman" w:hAnsi="Times New Roman"/>
          <w:color w:val="000000"/>
          <w:sz w:val="24"/>
        </w:rPr>
        <w:t>. Subject to Section 7 of this Policy, each individual who first becomes an Outside Director will be granted 13,000 Restricted Stock Units (“</w:t>
      </w:r>
      <w:r>
        <w:rPr>
          <w:rFonts w:ascii="Times New Roman" w:hAnsi="Times New Roman"/>
          <w:b/>
          <w:color w:val="000000"/>
          <w:sz w:val="24"/>
        </w:rPr>
        <w:t>RSUs</w:t>
      </w:r>
      <w:r>
        <w:rPr>
          <w:color w:val="000000"/>
        </w:rPr>
        <w:t>”</w:t>
      </w:r>
      <w:r>
        <w:rPr>
          <w:rFonts w:ascii="Times New Roman" w:hAnsi="Times New Roman"/>
          <w:color w:val="000000"/>
          <w:sz w:val="24"/>
        </w:rPr>
        <w:t>) (an “</w:t>
      </w:r>
      <w:r>
        <w:rPr>
          <w:rFonts w:ascii="Times New Roman" w:hAnsi="Times New Roman"/>
          <w:b/>
          <w:color w:val="000000"/>
          <w:sz w:val="24"/>
        </w:rPr>
        <w:t>Initial Award</w:t>
      </w:r>
      <w:r>
        <w:rPr>
          <w:color w:val="000000"/>
        </w:rPr>
        <w:t>”</w:t>
      </w:r>
      <w:r>
        <w:rPr>
          <w:rFonts w:ascii="Times New Roman" w:hAnsi="Times New Roman"/>
          <w:color w:val="000000"/>
          <w:sz w:val="24"/>
        </w:rPr>
        <w:t>). The Initial Award will be made on the first Trading Day on or after the date on which such individual first becomes an Outside Director, whether through election by the stockholders of the Company or appointment by the Board to fill a vacancy (such grant date, the “</w:t>
      </w:r>
      <w:r>
        <w:rPr>
          <w:rFonts w:ascii="Times New Roman" w:hAnsi="Times New Roman"/>
          <w:b/>
          <w:color w:val="000000"/>
          <w:sz w:val="24"/>
        </w:rPr>
        <w:t>Initial Award Grant Date</w:t>
      </w:r>
      <w:r>
        <w:rPr>
          <w:color w:val="000000"/>
        </w:rPr>
        <w:t>”</w:t>
      </w:r>
      <w:r>
        <w:rPr>
          <w:rFonts w:ascii="Times New Roman" w:hAnsi="Times New Roman"/>
          <w:color w:val="000000"/>
          <w:sz w:val="24"/>
        </w:rPr>
        <w:t>). If an individual was a member of the Board and also an employee, becoming an Outside Director due to termination of employment will not entitle the Outside Director to an Initial Award.</w:t>
      </w:r>
    </w:p>
    <w:p>
      <w:pPr>
        <w:pStyle w:val="TextBody"/>
        <w:bidi w:val="0"/>
        <w:spacing w:before="240" w:after="283"/>
        <w:jc w:val="both"/>
        <w:rPr>
          <w:rFonts w:ascii="Times New Roman" w:hAnsi="Times New Roman"/>
          <w:sz w:val="20"/>
        </w:rPr>
      </w:pPr>
      <w:r>
        <w:rPr>
          <w:rFonts w:ascii="Times New Roman" w:hAnsi="Times New Roman"/>
          <w:color w:val="000000"/>
          <w:sz w:val="24"/>
        </w:rPr>
        <w:t>Subject to Section 3 of this Policy, each Initial Award will be scheduled to vest as follows 1/3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of the Shares subject to the Initial Award will be scheduled to vest on each annual anniversary of the Initial Award Grant Date.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Subject to Section 7 of this Policy, on the date of each annual meeting of the Company’s stockholders (each, an “</w:t>
      </w:r>
      <w:r>
        <w:rPr>
          <w:rFonts w:ascii="Times New Roman" w:hAnsi="Times New Roman"/>
          <w:b/>
          <w:color w:val="000000"/>
          <w:sz w:val="24"/>
        </w:rPr>
        <w:t>Annual Meeting</w:t>
      </w:r>
      <w:r>
        <w:rPr>
          <w:color w:val="000000"/>
        </w:rPr>
        <w:t>”</w:t>
      </w:r>
      <w:r>
        <w:rPr>
          <w:rFonts w:ascii="Times New Roman" w:hAnsi="Times New Roman"/>
          <w:color w:val="000000"/>
          <w:sz w:val="24"/>
        </w:rPr>
        <w:t>), each Outside Director will be automatically granted 6,500 RSUs (an “</w:t>
      </w:r>
      <w:r>
        <w:rPr>
          <w:rFonts w:ascii="Times New Roman" w:hAnsi="Times New Roman"/>
          <w:b/>
          <w:color w:val="000000"/>
          <w:sz w:val="24"/>
        </w:rPr>
        <w:t>Annual Award</w:t>
      </w:r>
      <w:r>
        <w:rPr>
          <w:color w:val="000000"/>
        </w:rPr>
        <w:t>”</w:t>
      </w:r>
      <w:r>
        <w:rPr>
          <w:rFonts w:ascii="Times New Roman" w:hAnsi="Times New Roman"/>
          <w:color w:val="000000"/>
          <w:sz w:val="24"/>
        </w:rPr>
        <w:t xml:space="preserve">). Notwithstanding the foregoing, any Outside Director who has not been a Director for at least six (6) months prior to the date of the applicable Annual Meeting will not receive an Annual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Section 3 of this Policy, each Annual Award will be scheduled to vest on the earlier of (i) the one (1)-year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Each Initial Award and Annual Award will be granted under and subject to the terms and conditions of the Plan and the applicable form of Award Agreement previously approved by the Board or its Compensation Committee, as applicable, for use thereunder.</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3.</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Change in Control, each Outside Director outstanding Company equity awards will be treated in accordance with the terms of the Plan.</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4.</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Travel Expenses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Outside Director’s reasonable, customary, and documented travel expenses to Board meetings will be reimbursed by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5.</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Additional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provisions of the Plan not inconsistent with this Policy will apply to Awards granted to Outside Directors.</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6.</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Adjustments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7.</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Limitations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Outside Director may be paid, issued or granted, in any Fiscal Year, cash payments (including the fees under Section 1 above) and Awards with an aggregate value greater than $750,000, increased to $1,000,000 in connection with his or her initial service (with the value of Awards based on its grant date fair value (determined in accordance with U.S. generally accepted accounting principles)). Any Awards or other compensation provided to an individual (a) for his or her services as an Employee, or for his or her services as a Consultant other than as an Outside Director, or (b) prior to the Effective Date, will be excluded for purposes of the foregoing limits.</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8.</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Section 409A</w:t>
      </w:r>
    </w:p>
    <w:p>
      <w:pPr>
        <w:pStyle w:val="TextBody"/>
        <w:bidi w:val="0"/>
        <w:spacing w:before="240" w:after="283"/>
        <w:jc w:val="both"/>
        <w:rPr>
          <w:rFonts w:ascii="Times New Roman" w:hAnsi="Times New Roman"/>
          <w:sz w:val="20"/>
        </w:rPr>
      </w:pPr>
      <w:r>
        <w:rPr>
          <w:rFonts w:ascii="Times New Roman" w:hAnsi="Times New Roman"/>
          <w:color w:val="000000"/>
          <w:sz w:val="24"/>
        </w:rPr>
        <w:t>In no event will cash compensation or expense reimbursement payments under this Policy be paid after the later of (a)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Company’s fiscal year in which the compensation is earned or expenses are incurred, as applicable, or (b)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hAnsi="Times New Roman"/>
          <w:b/>
          <w:color w:val="000000"/>
          <w:sz w:val="24"/>
        </w:rPr>
        <w:t>Section 409A</w:t>
      </w:r>
      <w:r>
        <w:rPr>
          <w:rFonts w:ascii="Times New Roman" w:hAnsi="Times New Roman"/>
          <w:color w:val="000000"/>
          <w:sz w:val="20"/>
        </w:rPr>
        <w:t>”</w:t>
      </w:r>
      <w:r>
        <w:rPr>
          <w:rFonts w:ascii="Times New Roman" w:hAnsi="Times New Roman"/>
          <w:color w:val="000000"/>
          <w:sz w:val="24"/>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pStyle w:val="TextBody"/>
        <w:bidi w:val="0"/>
        <w:spacing w:before="240" w:after="283"/>
        <w:jc w:val="both"/>
        <w:rPr>
          <w:rFonts w:ascii="Times New Roman" w:hAnsi="Times New Roman"/>
          <w:b/>
          <w:smallCaps/>
          <w:color w:val="000000"/>
          <w:sz w:val="24"/>
        </w:rPr>
      </w:pPr>
      <w:r>
        <w:rPr>
          <w:rFonts w:ascii="Times New Roman" w:hAnsi="Times New Roman"/>
          <w:b/>
          <w:smallCaps/>
          <w:color w:val="000000"/>
          <w:sz w:val="24"/>
        </w:rPr>
        <w:t>9.</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Revisions</w:t>
      </w:r>
    </w:p>
    <w:p>
      <w:pPr>
        <w:pStyle w:val="TextBody"/>
        <w:bidi w:val="0"/>
        <w:spacing w:before="240" w:after="283"/>
        <w:jc w:val="both"/>
        <w:rPr>
          <w:rFonts w:ascii="Times New Roman" w:hAnsi="Times New Roman"/>
          <w:sz w:val="20"/>
        </w:rPr>
      </w:pPr>
      <w:r>
        <w:rPr>
          <w:rFonts w:ascii="Times New Roman" w:hAnsi="Times New Roman"/>
          <w:color w:val="000000"/>
          <w:sz w:val="24"/>
        </w:rPr>
        <w:t>The Board or any Committee designated by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0" w:name="slno-ex21_1.htm"/>
      <w:bookmarkStart w:id="41" w:name="ksslnoex21_1"/>
      <w:bookmarkEnd w:id="40"/>
      <w:bookmarkEnd w:id="41"/>
      <w:r>
        <w:rPr>
          <w:rFonts w:ascii="Times New Roman" w:hAnsi="Times New Roman"/>
          <w:b/>
          <w:color w:val="000000"/>
          <w:sz w:val="20"/>
        </w:rPr>
        <w:t>Exhibit 21.1</w:t>
      </w:r>
      <w:r>
        <w:rPr>
          <w:rFonts w:ascii="Times New Roman" w:hAnsi="Times New Roman"/>
          <w:color w:val="000000"/>
          <w:sz w:val="20"/>
        </w:rPr>
        <w:t xml:space="preserve"> </w:t>
      </w:r>
      <w:r>
        <w:br w:type="page"/>
      </w:r>
    </w:p>
    <w:p>
      <w:pPr>
        <w:pStyle w:val="TextBody"/>
        <w:bidi w:val="0"/>
        <w:spacing w:before="240" w:after="283"/>
        <w:jc w:val="left"/>
        <w:rPr>
          <w:rFonts w:ascii="Times New Roman" w:hAnsi="Times New Roman"/>
          <w:sz w:val="20"/>
        </w:rPr>
      </w:pPr>
      <w:r>
        <w:rPr>
          <w:rFonts w:ascii="Times New Roman" w:hAnsi="Times New Roman"/>
          <w:b/>
          <w:color w:val="000000"/>
          <w:sz w:val="20"/>
        </w:rPr>
        <w:t>Subsidiaries of Soleno Therapeutics, Inc.</w:t>
      </w:r>
      <w:r>
        <w:rPr>
          <w:rFonts w:ascii="Times New Roman" w:hAnsi="Times New Roman"/>
          <w:color w:val="000000"/>
          <w:sz w:val="20"/>
        </w:rPr>
        <w:t xml:space="preserve"> </w:t>
      </w:r>
    </w:p>
    <w:tbl>
      <w:tblPr>
        <w:tblW w:w="4453" w:type="dxa"/>
        <w:jc w:val="left"/>
        <w:tblInd w:w="0" w:type="dxa"/>
        <w:tblLayout w:type="fixed"/>
        <w:tblCellMar>
          <w:top w:w="28" w:type="dxa"/>
          <w:left w:w="28" w:type="dxa"/>
          <w:bottom w:w="28" w:type="dxa"/>
          <w:right w:w="28" w:type="dxa"/>
        </w:tblCellMar>
      </w:tblPr>
      <w:tblGrid>
        <w:gridCol w:w="2791"/>
        <w:gridCol w:w="146"/>
        <w:gridCol w:w="1516"/>
      </w:tblGrid>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Jurisdiction</w:t>
            </w:r>
          </w:p>
        </w:tc>
      </w:tr>
      <w:tr>
        <w:trPr/>
        <w:tc>
          <w:tcPr>
            <w:tcW w:w="27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Soleno Therapeutics U.K. Ltd. </w:t>
            </w:r>
          </w:p>
        </w:tc>
        <w:tc>
          <w:tcPr>
            <w:tcW w:w="14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27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Soleno Therapeutics Europe Ltd.</w:t>
            </w:r>
          </w:p>
        </w:tc>
        <w:tc>
          <w:tcPr>
            <w:tcW w:w="14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27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Inc.</w:t>
            </w:r>
          </w:p>
        </w:tc>
        <w:tc>
          <w:tcPr>
            <w:tcW w:w="14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2" w:name="slno-ex23_1.htm"/>
      <w:bookmarkStart w:id="43" w:name="ksslnoex23_1"/>
      <w:bookmarkEnd w:id="42"/>
      <w:bookmarkEnd w:id="43"/>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INDEPENDENT REGISTERED PUBLIC ACCOUNTING FIRM’S CONSENT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 of Soleno Therapeutics, Inc. on Form S-8 (File No.’s 333-200175, 333-210563, 333-220056, 333-224070, 333-230402, 333-235999, 333-239496, 333-252014, 333-264035, 333-270285, 333-273816, 333-276548 and 333-276785) and Form S-3 (File No. 333-275120) of our report dated March 6, 2024 with respect to our audits of the consolidated financial statements of Soleno Therapeutics, Inc. as of December 31, 2023 and 2022 and for each of the two years in the period ended December 31, 2023, which report is included in this Annual Report on Form 10-K of Soleno Therapeutics, Inc. for the year ended December 31, 2023.</w:t>
      </w:r>
    </w:p>
    <w:p>
      <w:pPr>
        <w:pStyle w:val="TextBody"/>
        <w:bidi w:val="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283"/>
              <w:jc w:val="left"/>
              <w:rPr>
                <w:sz w:val="4"/>
                <w:szCs w:val="4"/>
              </w:rPr>
            </w:pPr>
            <w:r>
              <w:rPr>
                <w:sz w:val="4"/>
                <w:szCs w:val="4"/>
              </w:rPr>
            </w:r>
          </w:p>
        </w:tc>
      </w:tr>
      <w:tr>
        <w:trPr/>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Marcum LLP</w:t>
            </w:r>
          </w:p>
        </w:tc>
      </w:tr>
      <w:tr>
        <w:trPr/>
        <w:tc>
          <w:tcPr>
            <w:tcW w:w="165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Marcum LLP</w:t>
            </w:r>
          </w:p>
          <w:p>
            <w:pPr>
              <w:pStyle w:val="TableContents"/>
              <w:bidi w:val="0"/>
              <w:jc w:val="left"/>
              <w:rPr>
                <w:rFonts w:ascii="Times New Roman" w:hAnsi="Times New Roman"/>
                <w:color w:val="000000"/>
                <w:sz w:val="20"/>
              </w:rPr>
            </w:pPr>
            <w:r>
              <w:rPr>
                <w:rFonts w:ascii="Times New Roman" w:hAnsi="Times New Roman"/>
                <w:color w:val="000000"/>
                <w:sz w:val="20"/>
              </w:rPr>
              <w:t>San Francisco, CA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6, 2024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4" w:name="slno-ex31_1.htm"/>
      <w:bookmarkStart w:id="45" w:name="ksslnoex31_1"/>
      <w:bookmarkEnd w:id="44"/>
      <w:bookmarkEnd w:id="45"/>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Anish Bhatnagar, M.D.,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Soleno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March 6, 2024</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ANISH BHATNAGAR </w:t>
            </w:r>
          </w:p>
        </w:tc>
      </w:tr>
      <w:tr>
        <w:trPr/>
        <w:tc>
          <w:tcPr>
            <w:tcW w:w="292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Anish Bhatnagar</w:t>
            </w:r>
          </w:p>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6" w:name="slno-ex31_2.htm"/>
      <w:bookmarkStart w:id="47" w:name="ksslnoex31_2"/>
      <w:bookmarkEnd w:id="46"/>
      <w:bookmarkEnd w:id="47"/>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Mackaness,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Soleno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March 6, 2024</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Mackaness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8" w:name="slno-ex32_1.htm"/>
      <w:bookmarkStart w:id="49" w:name="ksslnoex32_1"/>
      <w:bookmarkEnd w:id="48"/>
      <w:bookmarkEnd w:id="49"/>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Soleno Therapeutics, Inc. (the “Company”) on Form 10-K for the fiscal year ended December 31, 2023, as filed with the Securities and Exchange Commission (the “Report”), Anish Bhatnagar, President, Chief Executive Officer of the Company, do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March 6, 2024</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Anish Bhatnagar</w:t>
            </w:r>
          </w:p>
          <w:p>
            <w:pPr>
              <w:pStyle w:val="TableContents"/>
              <w:bidi w:val="0"/>
              <w:jc w:val="left"/>
              <w:rPr>
                <w:rFonts w:ascii="Times New Roman" w:hAnsi="Times New Roman"/>
                <w:color w:val="000000"/>
                <w:sz w:val="20"/>
              </w:rPr>
            </w:pPr>
            <w:r>
              <w:rPr>
                <w:rFonts w:ascii="Times New Roman" w:hAnsi="Times New Roman"/>
                <w:color w:val="000000"/>
                <w:sz w:val="20"/>
              </w:rPr>
              <w:t>President,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0" w:name="slno-ex32_2.htm"/>
      <w:bookmarkStart w:id="51" w:name="ksslnoex32_2"/>
      <w:bookmarkEnd w:id="50"/>
      <w:bookmarkEnd w:id="51"/>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Soleno Therapeutics, Inc. (the “Company”) on Form 10-K for the fiscal year ended December 31, 2023, as filed with the Securities and Exchange Commission (the “Report”), James Mackaness, Chief Financial Officer of the Company, do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March 6, 2024</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Mackaness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slno-ex97_1.htm"/>
      <w:bookmarkStart w:id="53" w:name="ksslnoex97_1"/>
      <w:bookmarkEnd w:id="52"/>
      <w:bookmarkEnd w:id="53"/>
      <w:r>
        <w:rPr/>
        <w:t> </w:t>
      </w:r>
      <w:r>
        <w:br w:type="page"/>
      </w:r>
    </w:p>
    <w:p>
      <w:pPr>
        <w:pStyle w:val="TextBody"/>
        <w:bidi w:val="0"/>
        <w:jc w:val="right"/>
        <w:rPr>
          <w:rFonts w:ascii="Calibri;sans-serif" w:hAnsi="Calibri;sans-serif"/>
          <w:b/>
          <w:color w:val="000000"/>
          <w:sz w:val="22"/>
        </w:rPr>
      </w:pPr>
      <w:r>
        <w:rPr>
          <w:rFonts w:ascii="Calibri;sans-serif" w:hAnsi="Calibri;sans-serif"/>
          <w:b/>
          <w:color w:val="000000"/>
          <w:sz w:val="22"/>
        </w:rPr>
        <w:t>Exhibit 97.1</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SOLENO THERAPEUTICS, INC.</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COMPENSATION RECOVERY POLICY</w:t>
      </w:r>
    </w:p>
    <w:p>
      <w:pPr>
        <w:pStyle w:val="TextBody"/>
        <w:bidi w:val="0"/>
        <w:spacing w:before="240" w:after="283"/>
        <w:jc w:val="center"/>
        <w:rPr>
          <w:rFonts w:ascii="Calibri;sans-serif" w:hAnsi="Calibri;sans-serif"/>
          <w:color w:val="000000"/>
          <w:sz w:val="22"/>
        </w:rPr>
      </w:pPr>
      <w:r>
        <w:rPr>
          <w:rFonts w:ascii="Calibri;sans-serif" w:hAnsi="Calibri;sans-serif"/>
          <w:color w:val="000000"/>
          <w:sz w:val="22"/>
        </w:rPr>
        <w:t>As adopted October 18, 2023</w:t>
      </w:r>
    </w:p>
    <w:p>
      <w:pPr>
        <w:pStyle w:val="TextBody"/>
        <w:bidi w:val="0"/>
        <w:spacing w:before="240" w:after="283"/>
        <w:jc w:val="both"/>
        <w:rPr>
          <w:rFonts w:ascii="Times New Roman" w:hAnsi="Times New Roman"/>
          <w:sz w:val="20"/>
        </w:rPr>
      </w:pPr>
      <w:r>
        <w:rPr>
          <w:rFonts w:ascii="Calibri;sans-serif" w:hAnsi="Calibri;sans-serif"/>
          <w:color w:val="000000"/>
          <w:sz w:val="22"/>
        </w:rPr>
        <w:t>Soleno Therapeutics, Inc. (the “</w:t>
      </w:r>
      <w:r>
        <w:rPr>
          <w:rFonts w:ascii="Calibri;sans-serif" w:hAnsi="Calibri;sans-serif"/>
          <w:b/>
          <w:color w:val="000000"/>
          <w:sz w:val="22"/>
        </w:rPr>
        <w:t>Company</w:t>
      </w:r>
      <w:r>
        <w:rPr>
          <w:rFonts w:ascii="Times New Roman" w:hAnsi="Times New Roman"/>
          <w:color w:val="000000"/>
          <w:sz w:val="20"/>
        </w:rPr>
        <w:t>”</w:t>
      </w:r>
      <w:r>
        <w:rPr>
          <w:rFonts w:ascii="Calibri;sans-serif" w:hAnsi="Calibri;sans-serif"/>
          <w:color w:val="000000"/>
          <w:sz w:val="22"/>
        </w:rPr>
        <w:t>) is committed to strong corporate governance. As part of this commitment, the Company’s Board of Directors (the “</w:t>
      </w:r>
      <w:r>
        <w:rPr>
          <w:rFonts w:ascii="Calibri;sans-serif" w:hAnsi="Calibri;sans-serif"/>
          <w:b/>
          <w:color w:val="000000"/>
          <w:sz w:val="22"/>
        </w:rPr>
        <w:t>Board</w:t>
      </w:r>
      <w:r>
        <w:rPr>
          <w:rFonts w:ascii="Times New Roman" w:hAnsi="Times New Roman"/>
          <w:color w:val="000000"/>
          <w:sz w:val="20"/>
        </w:rPr>
        <w:t>”</w:t>
      </w:r>
      <w:r>
        <w:rPr>
          <w:rFonts w:ascii="Calibri;sans-serif" w:hAnsi="Calibri;sans-serif"/>
          <w:color w:val="000000"/>
          <w:sz w:val="22"/>
        </w:rPr>
        <w:t>) has adopted this clawback policy called the Compensation Recovery Policy (the “</w:t>
      </w:r>
      <w:r>
        <w:rPr>
          <w:rFonts w:ascii="Calibri;sans-serif" w:hAnsi="Calibri;sans-serif"/>
          <w:b/>
          <w:color w:val="000000"/>
          <w:sz w:val="22"/>
        </w:rPr>
        <w:t>Policy</w:t>
      </w:r>
      <w:r>
        <w:rPr>
          <w:rFonts w:ascii="Times New Roman" w:hAnsi="Times New Roman"/>
          <w:color w:val="000000"/>
          <w:sz w:val="20"/>
        </w:rPr>
        <w:t>”</w:t>
      </w:r>
      <w:r>
        <w:rPr>
          <w:rFonts w:ascii="Calibri;sans-serif" w:hAnsi="Calibri;sans-serif"/>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Calibri;sans-serif" w:hAnsi="Calibri;sans-serif"/>
          <w:color w:val="000000"/>
          <w:sz w:val="22"/>
        </w:rPr>
        <w:t>The Policy is intended to comply with, and will be interpreted in a manner consistent with, Section 10D of the Securities Exchange Act of 1934 (the “</w:t>
      </w:r>
      <w:r>
        <w:rPr>
          <w:rFonts w:ascii="Calibri;sans-serif" w:hAnsi="Calibri;sans-serif"/>
          <w:b/>
          <w:color w:val="000000"/>
          <w:sz w:val="22"/>
        </w:rPr>
        <w:t>Exchange Act</w:t>
      </w:r>
      <w:r>
        <w:rPr>
          <w:rFonts w:ascii="Times New Roman" w:hAnsi="Times New Roman"/>
          <w:color w:val="000000"/>
          <w:sz w:val="20"/>
        </w:rPr>
        <w:t>”</w:t>
      </w:r>
      <w:r>
        <w:rPr>
          <w:rFonts w:ascii="Calibri;sans-serif" w:hAnsi="Calibri;sans-serif"/>
          <w:color w:val="000000"/>
          <w:sz w:val="22"/>
        </w:rPr>
        <w:t>), with Exchange Act Rule 10D-1 and with the listing standards of the national securities exchange (the “</w:t>
      </w:r>
      <w:r>
        <w:rPr>
          <w:rFonts w:ascii="Calibri;sans-serif" w:hAnsi="Calibri;sans-serif"/>
          <w:b/>
          <w:color w:val="000000"/>
          <w:sz w:val="22"/>
        </w:rPr>
        <w:t>Exchange</w:t>
      </w:r>
      <w:r>
        <w:rPr>
          <w:rFonts w:ascii="Times New Roman" w:hAnsi="Times New Roman"/>
          <w:color w:val="000000"/>
          <w:sz w:val="20"/>
        </w:rPr>
        <w:t>”</w:t>
      </w:r>
      <w:r>
        <w:rPr>
          <w:rFonts w:ascii="Calibri;sans-serif" w:hAnsi="Calibri;sans-serif"/>
          <w:color w:val="000000"/>
          <w:sz w:val="22"/>
        </w:rPr>
        <w:t>) on which the securities of the Company are listed,</w:t>
      </w:r>
      <w:r>
        <w:rPr>
          <w:rFonts w:ascii="Times New Roman" w:hAnsi="Times New Roman"/>
          <w:color w:val="FF0000"/>
          <w:sz w:val="20"/>
        </w:rPr>
        <w:t xml:space="preserve"> </w:t>
      </w:r>
      <w:r>
        <w:rPr>
          <w:rFonts w:ascii="Calibri;sans-serif" w:hAnsi="Calibri;sans-serif"/>
          <w:color w:val="000000"/>
          <w:sz w:val="22"/>
        </w:rPr>
        <w:t>including any official interpretive guidance.</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Persons Covered by the Policy</w:t>
      </w:r>
    </w:p>
    <w:p>
      <w:pPr>
        <w:pStyle w:val="TextBody"/>
        <w:bidi w:val="0"/>
        <w:spacing w:before="240" w:after="283"/>
        <w:jc w:val="both"/>
        <w:rPr>
          <w:rFonts w:ascii="Times New Roman" w:hAnsi="Times New Roman"/>
          <w:sz w:val="20"/>
        </w:rPr>
      </w:pPr>
      <w:r>
        <w:rPr>
          <w:rFonts w:ascii="Calibri;sans-serif" w:hAnsi="Calibri;sans-serif"/>
          <w:color w:val="262626"/>
          <w:sz w:val="22"/>
        </w:rPr>
        <w:t>The Policy is binding and enforceable against all “</w:t>
      </w:r>
      <w:r>
        <w:rPr>
          <w:rFonts w:ascii="Calibri;sans-serif" w:hAnsi="Calibri;sans-serif"/>
          <w:b/>
          <w:color w:val="262626"/>
          <w:sz w:val="22"/>
        </w:rPr>
        <w:t>Covered Executives.</w:t>
      </w:r>
      <w:r>
        <w:rPr>
          <w:rFonts w:ascii="Times New Roman" w:hAnsi="Times New Roman"/>
          <w:color w:val="262626"/>
          <w:sz w:val="20"/>
        </w:rPr>
        <w:t xml:space="preserve">” </w:t>
      </w:r>
      <w:r>
        <w:rPr>
          <w:rFonts w:ascii="Calibri;sans-serif" w:hAnsi="Calibri;sans-serif"/>
          <w:color w:val="262626"/>
          <w:sz w:val="22"/>
        </w:rPr>
        <w:t>A Covered Executive is each individual who is or was ever designated as an “officer” by the Board in accordance with Exchange Act Rule 16a-1(f) (a “</w:t>
      </w:r>
      <w:r>
        <w:rPr>
          <w:rFonts w:ascii="Calibri;sans-serif" w:hAnsi="Calibri;sans-serif"/>
          <w:b/>
          <w:color w:val="262626"/>
          <w:sz w:val="22"/>
        </w:rPr>
        <w:t>Section 16 Officer</w:t>
      </w:r>
      <w:r>
        <w:rPr>
          <w:rFonts w:ascii="Times New Roman" w:hAnsi="Times New Roman"/>
          <w:color w:val="262626"/>
          <w:sz w:val="20"/>
        </w:rPr>
        <w:t>”</w:t>
      </w:r>
      <w:r>
        <w:rPr>
          <w:rFonts w:ascii="Calibri;sans-serif" w:hAnsi="Calibri;sans-serif"/>
          <w:color w:val="262626"/>
          <w:sz w:val="22"/>
        </w:rPr>
        <w:t>).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Administration of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The Compensation Committee (the “</w:t>
      </w:r>
      <w:r>
        <w:rPr>
          <w:rFonts w:ascii="Calibri;sans-serif" w:hAnsi="Calibri;sans-serif"/>
          <w:b/>
          <w:color w:val="000000"/>
          <w:sz w:val="22"/>
        </w:rPr>
        <w:t>Committee</w:t>
      </w:r>
      <w:r>
        <w:rPr>
          <w:rFonts w:ascii="Times New Roman" w:hAnsi="Times New Roman"/>
          <w:color w:val="000000"/>
          <w:sz w:val="20"/>
        </w:rPr>
        <w:t>”</w:t>
      </w:r>
      <w:r>
        <w:rPr>
          <w:rFonts w:ascii="Calibri;sans-serif" w:hAnsi="Calibri;sans-serif"/>
          <w:color w:val="000000"/>
          <w:sz w:val="22"/>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Accounting Restatements Requiring Application of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Calibri;sans-serif" w:hAnsi="Calibri;sans-serif"/>
          <w:b/>
          <w:color w:val="000000"/>
          <w:sz w:val="22"/>
        </w:rPr>
        <w:t>Accounting Restatement</w:t>
      </w:r>
      <w:r>
        <w:rPr>
          <w:rFonts w:ascii="Times New Roman" w:hAnsi="Times New Roman"/>
          <w:color w:val="000000"/>
          <w:sz w:val="20"/>
        </w:rPr>
        <w:t>”</w:t>
      </w:r>
      <w:r>
        <w:rPr>
          <w:rFonts w:ascii="Calibri;sans-serif" w:hAnsi="Calibri;sans-serif"/>
          <w:color w:val="000000"/>
          <w:sz w:val="22"/>
        </w:rPr>
        <w:t>), then the Committee must determine the Excess Compensation, if any, that must be recovered. The Company’s obligation to recover Excess Compensation is not dependent on if or when restated financial statements are filed.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Compensation Covered by the Policy</w:t>
      </w:r>
    </w:p>
    <w:p>
      <w:pPr>
        <w:pStyle w:val="TextBody"/>
        <w:bidi w:val="0"/>
        <w:spacing w:before="240" w:after="283"/>
        <w:jc w:val="both"/>
        <w:rPr>
          <w:rFonts w:ascii="Times New Roman" w:hAnsi="Times New Roman"/>
          <w:sz w:val="20"/>
        </w:rPr>
      </w:pPr>
      <w:r>
        <w:rPr>
          <w:rFonts w:ascii="Calibri;sans-serif" w:hAnsi="Calibri;sans-serif"/>
          <w:color w:val="000000"/>
          <w:sz w:val="22"/>
        </w:rPr>
        <w:t xml:space="preserve">The Policy applies to certain </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 xml:space="preserve">(certain terms used in this Section are defined below) that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on or after October 2, 2023 (the “</w:t>
      </w:r>
      <w:r>
        <w:rPr>
          <w:rFonts w:ascii="Calibri;sans-serif" w:hAnsi="Calibri;sans-serif"/>
          <w:b/>
          <w:color w:val="000000"/>
          <w:sz w:val="22"/>
        </w:rPr>
        <w:t>Effective Date</w:t>
      </w:r>
      <w:r>
        <w:rPr>
          <w:rFonts w:ascii="Times New Roman" w:hAnsi="Times New Roman"/>
          <w:color w:val="000000"/>
          <w:sz w:val="20"/>
        </w:rPr>
        <w:t>”</w:t>
      </w:r>
      <w:r>
        <w:rPr>
          <w:rFonts w:ascii="Calibri;sans-serif" w:hAnsi="Calibri;sans-serif"/>
          <w:color w:val="000000"/>
          <w:sz w:val="22"/>
        </w:rPr>
        <w:t xml:space="preserve">), during the </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while the Company has a class of securities listed on a national securities exchange. Such Incentive-Based Compensation is considered “</w:t>
      </w:r>
      <w:r>
        <w:rPr>
          <w:rFonts w:ascii="Calibri;sans-serif" w:hAnsi="Calibri;sans-serif"/>
          <w:b/>
          <w:color w:val="000000"/>
          <w:sz w:val="22"/>
        </w:rPr>
        <w:t>Clawback Eligible Incentive-Based Compensation</w:t>
      </w:r>
      <w:r>
        <w:rPr>
          <w:rFonts w:ascii="Times New Roman" w:hAnsi="Times New Roman"/>
          <w:color w:val="000000"/>
          <w:sz w:val="20"/>
        </w:rPr>
        <w:t xml:space="preserve">” </w:t>
      </w:r>
      <w:r>
        <w:rPr>
          <w:rFonts w:ascii="Calibri;sans-serif" w:hAnsi="Calibri;sans-serif"/>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Calibri;sans-serif" w:hAnsi="Calibri;sans-serif"/>
          <w:b/>
          <w:color w:val="000000"/>
          <w:sz w:val="22"/>
        </w:rPr>
        <w:t>Excess Compensation</w:t>
      </w:r>
      <w:r>
        <w:rPr>
          <w:rFonts w:ascii="Times New Roman" w:hAnsi="Times New Roman"/>
          <w:color w:val="000000"/>
          <w:sz w:val="20"/>
        </w:rPr>
        <w:t xml:space="preserve">” </w:t>
      </w:r>
      <w:r>
        <w:rPr>
          <w:rFonts w:ascii="Calibri;sans-serif" w:hAnsi="Calibri;sans-serif"/>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before="240" w:after="283"/>
        <w:jc w:val="both"/>
        <w:rPr/>
      </w:pPr>
      <w:r>
        <w:rPr>
          <w:color w:val="000000"/>
        </w:rPr>
        <w:t>“</w:t>
      </w:r>
      <w:r>
        <w:rPr>
          <w:rFonts w:ascii="Calibri;sans-serif" w:hAnsi="Calibri;sans-serif"/>
          <w:b/>
          <w:color w:val="000000"/>
          <w:sz w:val="22"/>
        </w:rPr>
        <w:t>Incentive-Based Compensation</w:t>
      </w:r>
      <w:r>
        <w:rPr>
          <w:rFonts w:ascii="Times New Roman" w:hAnsi="Times New Roman"/>
          <w:color w:val="000000"/>
          <w:sz w:val="20"/>
        </w:rPr>
        <w:t xml:space="preserve">” </w:t>
      </w:r>
      <w:r>
        <w:rPr>
          <w:rFonts w:ascii="Calibri;sans-serif" w:hAnsi="Calibri;sans-serif"/>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Financial Reporting Measures</w:t>
      </w:r>
      <w:r>
        <w:rPr>
          <w:rFonts w:ascii="Times New Roman" w:hAnsi="Times New Roman"/>
          <w:color w:val="000000"/>
          <w:sz w:val="20"/>
        </w:rPr>
        <w:t xml:space="preserve">” </w:t>
      </w:r>
      <w:r>
        <w:rPr>
          <w:rFonts w:ascii="Calibri;sans-serif" w:hAnsi="Calibri;sans-serif"/>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2"/>
        </w:rPr>
        <w:t>Incentive-Based Compensation is “</w:t>
      </w:r>
      <w:r>
        <w:rPr>
          <w:rFonts w:ascii="Calibri;sans-serif" w:hAnsi="Calibri;sans-serif"/>
          <w:b/>
          <w:color w:val="000000"/>
          <w:sz w:val="22"/>
        </w:rPr>
        <w:t>Received</w:t>
      </w:r>
      <w:r>
        <w:rPr>
          <w:rFonts w:ascii="Times New Roman" w:hAnsi="Times New Roman"/>
          <w:color w:val="000000"/>
          <w:sz w:val="20"/>
        </w:rPr>
        <w:t xml:space="preserve">” </w:t>
      </w:r>
      <w:r>
        <w:rPr>
          <w:rFonts w:ascii="Calibri;sans-serif" w:hAnsi="Calibri;sans-serif"/>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before="240" w:after="283"/>
        <w:jc w:val="both"/>
        <w:rPr/>
      </w:pPr>
      <w:r>
        <w:rPr>
          <w:color w:val="000000"/>
        </w:rPr>
        <w:t>“</w:t>
      </w:r>
      <w:r>
        <w:rPr>
          <w:rFonts w:ascii="Calibri;sans-serif" w:hAnsi="Calibri;sans-serif"/>
          <w:b/>
          <w:color w:val="000000"/>
          <w:sz w:val="22"/>
        </w:rPr>
        <w:t>Covered Period</w:t>
      </w:r>
      <w:r>
        <w:rPr>
          <w:rFonts w:ascii="Times New Roman" w:hAnsi="Times New Roman"/>
          <w:color w:val="000000"/>
          <w:sz w:val="20"/>
        </w:rPr>
        <w:t xml:space="preserve">” </w:t>
      </w:r>
      <w:r>
        <w:rPr>
          <w:rFonts w:ascii="Calibri;sans-serif" w:hAnsi="Calibri;sans-serif"/>
          <w:color w:val="000000"/>
          <w:sz w:val="22"/>
        </w:rPr>
        <w:t>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Calibri;sans-serif" w:hAnsi="Calibri;sans-serif"/>
          <w:b/>
          <w:color w:val="000000"/>
          <w:sz w:val="22"/>
        </w:rPr>
        <w:t>Accounting Restatement Determination Date</w:t>
      </w:r>
      <w:r>
        <w:rPr>
          <w:rFonts w:ascii="Times New Roman" w:hAnsi="Times New Roman"/>
          <w:color w:val="000000"/>
          <w:sz w:val="20"/>
        </w:rPr>
        <w:t xml:space="preserve">” </w:t>
      </w:r>
      <w:r>
        <w:rPr>
          <w:rFonts w:ascii="Calibri;sans-serif" w:hAnsi="Calibri;sans-serif"/>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Repayment of Excess Compensation</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requiring reimbursement of cash Incentive-Based Compensation previously paid; </w:t>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before="240" w:after="283"/>
        <w:jc w:val="both"/>
        <w:rPr>
          <w:rFonts w:ascii="Calibri" w:hAnsi="Calibri"/>
          <w:color w:val="000000"/>
          <w:sz w:val="22"/>
        </w:rPr>
      </w:pPr>
      <w:r>
        <w:rPr>
          <w:rFonts w:ascii="Calibri" w:hAnsi="Calibri"/>
          <w:color w:val="000000"/>
          <w:sz w:val="22"/>
        </w:rPr>
        <w:t>(c)</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Calibri" w:hAnsi="Calibri"/>
          <w:color w:val="000000"/>
          <w:sz w:val="22"/>
        </w:rPr>
      </w:pPr>
      <w:r>
        <w:rPr>
          <w:rFonts w:ascii="Calibri" w:hAnsi="Calibri"/>
          <w:color w:val="000000"/>
          <w:sz w:val="22"/>
        </w:rPr>
        <w:t>(d)</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240" w:after="283"/>
        <w:jc w:val="both"/>
        <w:rPr>
          <w:rFonts w:ascii="Calibri" w:hAnsi="Calibri"/>
          <w:color w:val="000000"/>
          <w:sz w:val="22"/>
        </w:rPr>
      </w:pPr>
      <w:r>
        <w:rPr>
          <w:rFonts w:ascii="Calibri" w:hAnsi="Calibri"/>
          <w:color w:val="000000"/>
          <w:sz w:val="22"/>
        </w:rPr>
        <w:t>(e)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Calibri;sans-serif" w:hAnsi="Calibri;sans-serif"/>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Limited Exceptions to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240" w:after="283"/>
        <w:jc w:val="both"/>
        <w:rPr>
          <w:rFonts w:ascii="Calibri" w:hAnsi="Calibri"/>
          <w:color w:val="000000"/>
          <w:sz w:val="22"/>
        </w:rPr>
      </w:pPr>
      <w:r>
        <w:rPr>
          <w:rFonts w:ascii="Calibri" w:hAnsi="Calibri"/>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Calibri" w:hAnsi="Calibri"/>
          <w:color w:val="000000"/>
          <w:sz w:val="22"/>
        </w:rPr>
      </w:pPr>
      <w:r>
        <w:rPr>
          <w:rFonts w:ascii="Calibri" w:hAnsi="Calibri"/>
          <w:color w:val="000000"/>
          <w:sz w:val="22"/>
        </w:rPr>
        <w:t>(b)</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Calibri;sans-serif" w:hAnsi="Calibri;sans-serif"/>
          <w:b/>
          <w:color w:val="000000"/>
          <w:sz w:val="22"/>
        </w:rPr>
      </w:pPr>
      <w:r>
        <w:rPr>
          <w:rFonts w:ascii="Calibri;sans-serif" w:hAnsi="Calibri;sans-serif"/>
          <w:b/>
          <w:color w:val="000000"/>
          <w:sz w:val="22"/>
        </w:rPr>
        <w:t>Other Important Information in the Policy</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Calibri;sans-serif" w:hAnsi="Calibri;sans-serif"/>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Committee or Board may review and modify the Policy from time to time.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The Policy will terminate and no longer be enforceable when the Company ceases to be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Calibri;sans-serif" w:hAnsi="Calibri;sans-serif"/>
          <w:color w:val="000000"/>
          <w:sz w:val="22"/>
        </w:rPr>
        <w:t>I acknowledge that I have received and read the Compensation Recovery Policy (the “</w:t>
      </w:r>
      <w:r>
        <w:rPr>
          <w:rFonts w:ascii="Calibri;sans-serif" w:hAnsi="Calibri;sans-serif"/>
          <w:b/>
          <w:color w:val="000000"/>
          <w:sz w:val="22"/>
        </w:rPr>
        <w:t>Policy</w:t>
      </w:r>
      <w:r>
        <w:rPr>
          <w:color w:val="000000"/>
        </w:rPr>
        <w:t>”</w:t>
      </w:r>
      <w:r>
        <w:rPr>
          <w:rFonts w:ascii="Calibri;sans-serif" w:hAnsi="Calibri;sans-serif"/>
          <w:color w:val="000000"/>
          <w:sz w:val="22"/>
        </w:rPr>
        <w:t>) of Soleno Therapeutics, Inc. (the “</w:t>
      </w:r>
      <w:r>
        <w:rPr>
          <w:rFonts w:ascii="Calibri;sans-serif" w:hAnsi="Calibri;sans-serif"/>
          <w:b/>
          <w:color w:val="000000"/>
          <w:sz w:val="22"/>
        </w:rPr>
        <w:t>Company</w:t>
      </w:r>
      <w:r>
        <w:rPr>
          <w:color w:val="000000"/>
        </w:rPr>
        <w:t>”</w:t>
      </w:r>
      <w:r>
        <w:rPr>
          <w:rFonts w:ascii="Calibri;sans-serif" w:hAnsi="Calibri;sans-serif"/>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acknowledge that if I have questions concerning the meaning or application of the Policy, it is my responsibility to seek guidance from my own personal advisors.</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 acknowledge that neither this Acknowledgement nor the Policy is meant to constitute an employment contract.</w:t>
      </w:r>
    </w:p>
    <w:p>
      <w:pPr>
        <w:pStyle w:val="TextBody"/>
        <w:bidi w:val="0"/>
        <w:spacing w:before="240" w:after="283"/>
        <w:jc w:val="both"/>
        <w:rPr>
          <w:rFonts w:ascii="Times New Roman" w:hAnsi="Times New Roman"/>
          <w:sz w:val="20"/>
        </w:rPr>
      </w:pPr>
      <w:r>
        <w:rPr>
          <w:rFonts w:ascii="Calibri;sans-serif" w:hAnsi="Calibri;sans-serif"/>
          <w:color w:val="000000"/>
          <w:sz w:val="22"/>
        </w:rPr>
        <w:t>Please review, sign and return this form to the Chief Executive Officer or Chief Financial Officer.</w:t>
      </w:r>
      <w:r>
        <w:rPr>
          <w:rFonts w:ascii="Times New Roman" w:hAnsi="Times New Roman"/>
          <w:color w:val="000000"/>
          <w:sz w:val="20"/>
        </w:rPr>
        <w:t xml:space="preserve"> </w:t>
      </w:r>
    </w:p>
    <w:p>
      <w:pPr>
        <w:pStyle w:val="TextBody"/>
        <w:bidi w:val="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Calibri;sans-serif" w:hAnsi="Calibri;sans-serif"/>
                <w:b/>
                <w:color w:val="000000"/>
                <w:sz w:val="22"/>
              </w:rPr>
            </w:pPr>
            <w:r>
              <w:rPr>
                <w:rFonts w:ascii="Calibri;sans-serif" w:hAnsi="Calibri;sans-serif"/>
                <w:b/>
                <w:color w:val="000000"/>
                <w:sz w:val="22"/>
              </w:rPr>
              <w:t>Covered Executive</w:t>
            </w:r>
          </w:p>
        </w:tc>
      </w:tr>
      <w:tr>
        <w:trPr/>
        <w:tc>
          <w:tcPr>
            <w:tcW w:w="18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print name</w:t>
            </w:r>
            <w:r>
              <w:rPr>
                <w:rFonts w:ascii="Calibri;sans-serif" w:hAnsi="Calibri;sans-serif"/>
                <w:color w:val="000000"/>
                <w:sz w:val="22"/>
              </w:rPr>
              <w:t>)</w:t>
            </w:r>
          </w:p>
        </w:tc>
      </w:tr>
      <w:tr>
        <w:trPr/>
        <w:tc>
          <w:tcPr>
            <w:tcW w:w="18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Times New Roman" w:hAnsi="Times New Roman"/>
                <w:sz w:val="22"/>
              </w:rPr>
            </w:pPr>
            <w:r>
              <w:rPr>
                <w:rFonts w:ascii="Calibri;sans-serif" w:hAnsi="Calibri;sans-serif"/>
                <w:color w:val="000000"/>
                <w:sz w:val="22"/>
              </w:rPr>
              <w:t>(</w:t>
            </w:r>
            <w:r>
              <w:rPr>
                <w:rFonts w:ascii="Calibri;sans-serif" w:hAnsi="Calibri;sans-serif"/>
                <w:i/>
                <w:color w:val="000000"/>
                <w:sz w:val="22"/>
              </w:rPr>
              <w:t>signature</w:t>
            </w:r>
            <w:r>
              <w:rPr>
                <w:rFonts w:ascii="Calibri;sans-serif" w:hAnsi="Calibri;sans-serif"/>
                <w:color w:val="000000"/>
                <w:sz w:val="22"/>
              </w:rPr>
              <w:t>)</w:t>
            </w:r>
          </w:p>
        </w:tc>
      </w:tr>
      <w:tr>
        <w:trPr/>
        <w:tc>
          <w:tcPr>
            <w:tcW w:w="189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Calibri;sans-serif" w:hAnsi="Calibri;sans-serif"/>
                <w:i/>
                <w:color w:val="000000"/>
                <w:sz w:val="22"/>
              </w:rPr>
            </w:pPr>
            <w:r>
              <w:rPr>
                <w:rFonts w:ascii="Calibri;sans-serif" w:hAnsi="Calibri;sans-serif"/>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4565/000119312523247533/d331815dex11.htm" TargetMode="External"/><Relationship Id="rId3" Type="http://schemas.openxmlformats.org/officeDocument/2006/relationships/hyperlink" Target="https://www.sec.gov/Archives/edgar/data/1484565/000162828017007221/ehx21.htm" TargetMode="External"/><Relationship Id="rId4" Type="http://schemas.openxmlformats.org/officeDocument/2006/relationships/hyperlink" Target="https://www.sec.gov/Archives/edgar/data/1484565/000162828017007221/ehx21.htm" TargetMode="External"/><Relationship Id="rId5" Type="http://schemas.openxmlformats.org/officeDocument/2006/relationships/hyperlink" Target="https://www.sec.gov/Archives/edgar/data/1484565/000162828017012274/ex21soleno-captainjvagreem.htm" TargetMode="External"/><Relationship Id="rId6" Type="http://schemas.openxmlformats.org/officeDocument/2006/relationships/hyperlink" Target="https://www.sec.gov/Archives/edgar/data/1484565/000162828017012274/ex21soleno-captainjvagreem.htm" TargetMode="External"/><Relationship Id="rId7" Type="http://schemas.openxmlformats.org/officeDocument/2006/relationships/hyperlink" Target="https://www.sec.gov/Archives/edgar/data/1484565/000162828017012274/ex22ippurchaseagreement.htm" TargetMode="External"/><Relationship Id="rId8" Type="http://schemas.openxmlformats.org/officeDocument/2006/relationships/hyperlink" Target="https://www.sec.gov/Archives/edgar/data/1484565/000162828017012274/ex22ippurchaseagreement.htm" TargetMode="External"/><Relationship Id="rId9" Type="http://schemas.openxmlformats.org/officeDocument/2006/relationships/hyperlink" Target="https://www.sec.gov/Archives/edgar/data/1484565/000162828017012274/ex23soleno-transitionservi.htm" TargetMode="External"/><Relationship Id="rId10" Type="http://schemas.openxmlformats.org/officeDocument/2006/relationships/hyperlink" Target="https://www.sec.gov/Archives/edgar/data/1484565/000162828017012274/ex23soleno-transitionservi.htm" TargetMode="External"/><Relationship Id="rId11" Type="http://schemas.openxmlformats.org/officeDocument/2006/relationships/hyperlink" Target="https://www.sec.gov/Archives/edgar/data/1484565/000119312514300848/d711637dex32.htm" TargetMode="External"/><Relationship Id="rId12" Type="http://schemas.openxmlformats.org/officeDocument/2006/relationships/hyperlink" Target="https://www.sec.gov/Archives/edgar/data/1484565/000119312514300848/d711637dex32.htm" TargetMode="External"/><Relationship Id="rId13" Type="http://schemas.openxmlformats.org/officeDocument/2006/relationships/hyperlink" Target="https://www.sec.gov/Archives/edgar/data/1484565/000119312514256995/d711637dex34.htm" TargetMode="External"/><Relationship Id="rId14" Type="http://schemas.openxmlformats.org/officeDocument/2006/relationships/hyperlink" Target="https://www.sec.gov/Archives/edgar/data/1484565/000119312514256995/d711637dex34.htm" TargetMode="External"/><Relationship Id="rId15" Type="http://schemas.openxmlformats.org/officeDocument/2006/relationships/hyperlink" Target="https://www.sec.gov/Archives/edgar/data/1484565/000119312515344002/d67111dex31.htm" TargetMode="External"/><Relationship Id="rId16" Type="http://schemas.openxmlformats.org/officeDocument/2006/relationships/hyperlink" Target="https://www.sec.gov/Archives/edgar/data/1484565/000119312515344002/d67111dex31.htm" TargetMode="External"/><Relationship Id="rId17" Type="http://schemas.openxmlformats.org/officeDocument/2006/relationships/hyperlink" Target="https://www.sec.gov/Archives/edgar/data/1484565/000119312516642505/d221558dex31.htm" TargetMode="External"/><Relationship Id="rId18" Type="http://schemas.openxmlformats.org/officeDocument/2006/relationships/hyperlink" Target="https://www.sec.gov/Archives/edgar/data/1484565/000119312516642505/d221558dex31.htm" TargetMode="External"/><Relationship Id="rId19" Type="http://schemas.openxmlformats.org/officeDocument/2006/relationships/hyperlink" Target="https://www.sec.gov/Archives/edgar/data/1484565/000162828017005427/exhibit31.htm" TargetMode="External"/><Relationship Id="rId20" Type="http://schemas.openxmlformats.org/officeDocument/2006/relationships/hyperlink" Target="https://www.sec.gov/Archives/edgar/data/1484565/000162828017005427/exhibit31.htm" TargetMode="External"/><Relationship Id="rId21" Type="http://schemas.openxmlformats.org/officeDocument/2006/relationships/hyperlink" Target="https://www.sec.gov/Archives/edgar/data/1484565/000162828017009761/soleno-certificateofamendm.htm" TargetMode="External"/><Relationship Id="rId22" Type="http://schemas.openxmlformats.org/officeDocument/2006/relationships/hyperlink" Target="https://www.sec.gov/Archives/edgar/data/1484565/000162828017009761/soleno-certificateofamendm.htm" TargetMode="External"/><Relationship Id="rId23" Type="http://schemas.openxmlformats.org/officeDocument/2006/relationships/hyperlink" Target="https://www.sec.gov/Archives/edgar/data/1484565/000119312522228929/d394864dex31.htm" TargetMode="External"/><Relationship Id="rId24" Type="http://schemas.openxmlformats.org/officeDocument/2006/relationships/hyperlink" Target="https://www.sec.gov/Archives/edgar/data/1484565/000119312514293949/d711637dex41.htm" TargetMode="External"/><Relationship Id="rId25" Type="http://schemas.openxmlformats.org/officeDocument/2006/relationships/hyperlink" Target="https://www.sec.gov/Archives/edgar/data/1484565/000119312514293949/d711637dex41.htm" TargetMode="External"/><Relationship Id="rId26" Type="http://schemas.openxmlformats.org/officeDocument/2006/relationships/hyperlink" Target="https://www.sec.gov/Archives/edgar/data/1484565/000119312514256995/d711637dex42.htm" TargetMode="External"/><Relationship Id="rId27" Type="http://schemas.openxmlformats.org/officeDocument/2006/relationships/hyperlink" Target="https://www.sec.gov/Archives/edgar/data/1484565/000119312514256995/d711637dex42.htm" TargetMode="External"/><Relationship Id="rId28" Type="http://schemas.openxmlformats.org/officeDocument/2006/relationships/hyperlink" Target="https://www.sec.gov/Archives/edgar/data/1484565/000119312514293949/d711637dex43.htm" TargetMode="External"/><Relationship Id="rId29" Type="http://schemas.openxmlformats.org/officeDocument/2006/relationships/hyperlink" Target="https://www.sec.gov/Archives/edgar/data/1484565/000119312514293949/d711637dex43.htm" TargetMode="External"/><Relationship Id="rId30" Type="http://schemas.openxmlformats.org/officeDocument/2006/relationships/hyperlink" Target="https://www.sec.gov/Archives/edgar/data/1484565/000119312514293949/d711637dex44.htm" TargetMode="External"/><Relationship Id="rId31" Type="http://schemas.openxmlformats.org/officeDocument/2006/relationships/hyperlink" Target="https://www.sec.gov/Archives/edgar/data/1484565/000119312514293949/d711637dex44.htm" TargetMode="External"/><Relationship Id="rId32" Type="http://schemas.openxmlformats.org/officeDocument/2006/relationships/hyperlink" Target="https://www.sec.gov/Archives/edgar/data/1484565/000119312514293949/d711637dex45.htm" TargetMode="External"/><Relationship Id="rId33" Type="http://schemas.openxmlformats.org/officeDocument/2006/relationships/hyperlink" Target="https://www.sec.gov/Archives/edgar/data/1484565/000119312514293949/d711637dex45.htm" TargetMode="External"/><Relationship Id="rId34" Type="http://schemas.openxmlformats.org/officeDocument/2006/relationships/hyperlink" Target="https://www.sec.gov/Archives/edgar/data/1484565/000119312514231812/d711637dex46.htm" TargetMode="External"/><Relationship Id="rId35" Type="http://schemas.openxmlformats.org/officeDocument/2006/relationships/hyperlink" Target="https://www.sec.gov/Archives/edgar/data/1484565/000119312514231812/d711637dex46.htm" TargetMode="External"/><Relationship Id="rId36" Type="http://schemas.openxmlformats.org/officeDocument/2006/relationships/hyperlink" Target="https://www.sec.gov/Archives/edgar/data/1484565/000119312514231812/d711637dex47.htm" TargetMode="External"/><Relationship Id="rId37" Type="http://schemas.openxmlformats.org/officeDocument/2006/relationships/hyperlink" Target="https://www.sec.gov/Archives/edgar/data/1484565/000119312514231812/d711637dex47.htm" TargetMode="External"/><Relationship Id="rId38" Type="http://schemas.openxmlformats.org/officeDocument/2006/relationships/hyperlink" Target="https://www.sec.gov/Archives/edgar/data/1484565/000119312514231812/d711637dex48.htm" TargetMode="External"/><Relationship Id="rId39" Type="http://schemas.openxmlformats.org/officeDocument/2006/relationships/hyperlink" Target="https://www.sec.gov/Archives/edgar/data/1484565/000119312514231812/d711637dex48.htm" TargetMode="External"/><Relationship Id="rId40" Type="http://schemas.openxmlformats.org/officeDocument/2006/relationships/hyperlink" Target="https://www.sec.gov/Archives/edgar/data/1484565/000119312514231812/d711637dex49.htm" TargetMode="External"/><Relationship Id="rId41" Type="http://schemas.openxmlformats.org/officeDocument/2006/relationships/hyperlink" Target="https://www.sec.gov/Archives/edgar/data/1484565/000119312514231812/d711637dex49.htm" TargetMode="External"/><Relationship Id="rId42" Type="http://schemas.openxmlformats.org/officeDocument/2006/relationships/hyperlink" Target="https://www.sec.gov/Archives/edgar/data/1484565/000119312514231812/d711637dex410.htm" TargetMode="External"/><Relationship Id="rId43" Type="http://schemas.openxmlformats.org/officeDocument/2006/relationships/hyperlink" Target="https://www.sec.gov/Archives/edgar/data/1484565/000119312514231812/d711637dex410.htm" TargetMode="External"/><Relationship Id="rId44" Type="http://schemas.openxmlformats.org/officeDocument/2006/relationships/hyperlink" Target="https://www.sec.gov/Archives/edgar/data/1484565/000119312514231812/d711637dex411.htm" TargetMode="External"/><Relationship Id="rId45" Type="http://schemas.openxmlformats.org/officeDocument/2006/relationships/hyperlink" Target="https://www.sec.gov/Archives/edgar/data/1484565/000119312514231812/d711637dex411.htm" TargetMode="External"/><Relationship Id="rId46" Type="http://schemas.openxmlformats.org/officeDocument/2006/relationships/hyperlink" Target="https://www.sec.gov/Archives/edgar/data/1484565/000119312514231812/d711637dex412.htm" TargetMode="External"/><Relationship Id="rId47" Type="http://schemas.openxmlformats.org/officeDocument/2006/relationships/hyperlink" Target="https://www.sec.gov/Archives/edgar/data/1484565/000119312514231812/d711637dex412.htm" TargetMode="External"/><Relationship Id="rId48" Type="http://schemas.openxmlformats.org/officeDocument/2006/relationships/hyperlink" Target="https://www.sec.gov/Archives/edgar/data/1484565/000119312514231812/d711637dex413.htm" TargetMode="External"/><Relationship Id="rId49" Type="http://schemas.openxmlformats.org/officeDocument/2006/relationships/hyperlink" Target="https://www.sec.gov/Archives/edgar/data/1484565/000119312514231812/d711637dex413.htm" TargetMode="External"/><Relationship Id="rId50" Type="http://schemas.openxmlformats.org/officeDocument/2006/relationships/hyperlink" Target="https://www.sec.gov/Archives/edgar/data/1484565/000119312514231812/d711637dex414.htm" TargetMode="External"/><Relationship Id="rId51" Type="http://schemas.openxmlformats.org/officeDocument/2006/relationships/hyperlink" Target="https://www.sec.gov/Archives/edgar/data/1484565/000119312514231812/d711637dex414.htm" TargetMode="External"/><Relationship Id="rId52" Type="http://schemas.openxmlformats.org/officeDocument/2006/relationships/hyperlink" Target="https://www.sec.gov/Archives/edgar/data/1484565/000119312514231812/d711637dex415.htm" TargetMode="External"/><Relationship Id="rId53" Type="http://schemas.openxmlformats.org/officeDocument/2006/relationships/hyperlink" Target="https://www.sec.gov/Archives/edgar/data/1484565/000119312514231812/d711637dex415.htm" TargetMode="External"/><Relationship Id="rId54" Type="http://schemas.openxmlformats.org/officeDocument/2006/relationships/hyperlink" Target="https://www.sec.gov/Archives/edgar/data/1484565/000119312514293949/d711637dex416.htm" TargetMode="External"/><Relationship Id="rId55" Type="http://schemas.openxmlformats.org/officeDocument/2006/relationships/hyperlink" Target="https://www.sec.gov/Archives/edgar/data/1484565/000119312514293949/d711637dex416.htm" TargetMode="External"/><Relationship Id="rId56" Type="http://schemas.openxmlformats.org/officeDocument/2006/relationships/hyperlink" Target="https://www.sec.gov/Archives/edgar/data/1484565/000119312514396517/d711637dex417.htm" TargetMode="External"/><Relationship Id="rId57" Type="http://schemas.openxmlformats.org/officeDocument/2006/relationships/hyperlink" Target="https://www.sec.gov/Archives/edgar/data/1484565/000119312514396517/d711637dex417.htm" TargetMode="External"/><Relationship Id="rId58" Type="http://schemas.openxmlformats.org/officeDocument/2006/relationships/hyperlink" Target="https://www.sec.gov/Archives/edgar/data/1484565/000119312514396517/d711637dex418.htm" TargetMode="External"/><Relationship Id="rId59" Type="http://schemas.openxmlformats.org/officeDocument/2006/relationships/hyperlink" Target="https://www.sec.gov/Archives/edgar/data/1484565/000119312514396517/d711637dex418.htm" TargetMode="External"/><Relationship Id="rId60" Type="http://schemas.openxmlformats.org/officeDocument/2006/relationships/hyperlink" Target="https://www.sec.gov/Archives/edgar/data/1484565/000119312515114723/d893037dex419.htm" TargetMode="External"/><Relationship Id="rId61" Type="http://schemas.openxmlformats.org/officeDocument/2006/relationships/hyperlink" Target="https://www.sec.gov/Archives/edgar/data/1484565/000119312515114723/d893037dex419.htm" TargetMode="External"/><Relationship Id="rId62" Type="http://schemas.openxmlformats.org/officeDocument/2006/relationships/hyperlink" Target="https://www.sec.gov/Archives/edgar/data/1484565/000119312515114723/d893037dex420.htm" TargetMode="External"/><Relationship Id="rId63" Type="http://schemas.openxmlformats.org/officeDocument/2006/relationships/hyperlink" Target="https://www.sec.gov/Archives/edgar/data/1484565/000119312515114723/d893037dex420.htm" TargetMode="External"/><Relationship Id="rId64" Type="http://schemas.openxmlformats.org/officeDocument/2006/relationships/hyperlink" Target="https://www.sec.gov/Archives/edgar/data/1484565/000119312515344002/d67111dex41.htm" TargetMode="External"/><Relationship Id="rId65" Type="http://schemas.openxmlformats.org/officeDocument/2006/relationships/hyperlink" Target="https://www.sec.gov/Archives/edgar/data/1484565/000119312515344002/d67111dex41.htm" TargetMode="External"/><Relationship Id="rId66" Type="http://schemas.openxmlformats.org/officeDocument/2006/relationships/hyperlink" Target="https://www.sec.gov/Archives/edgar/data/1484565/000119312515344002/d67111dex42.htm" TargetMode="External"/><Relationship Id="rId67" Type="http://schemas.openxmlformats.org/officeDocument/2006/relationships/hyperlink" Target="https://www.sec.gov/Archives/edgar/data/1484565/000119312515344002/d67111dex42.htm" TargetMode="External"/><Relationship Id="rId68" Type="http://schemas.openxmlformats.org/officeDocument/2006/relationships/hyperlink" Target="https://www.sec.gov/Archives/edgar/data/1484565/000119312515344002/d67111dex43.htm" TargetMode="External"/><Relationship Id="rId69" Type="http://schemas.openxmlformats.org/officeDocument/2006/relationships/hyperlink" Target="https://www.sec.gov/Archives/edgar/data/1484565/000119312515344002/d67111dex43.htm" TargetMode="External"/><Relationship Id="rId70" Type="http://schemas.openxmlformats.org/officeDocument/2006/relationships/hyperlink" Target="https://www.sec.gov/Archives/edgar/data/1484565/000119312515344002/d67111dex44.htm" TargetMode="External"/><Relationship Id="rId71" Type="http://schemas.openxmlformats.org/officeDocument/2006/relationships/hyperlink" Target="https://www.sec.gov/Archives/edgar/data/1484565/000119312515344002/d67111dex44.htm" TargetMode="External"/><Relationship Id="rId72" Type="http://schemas.openxmlformats.org/officeDocument/2006/relationships/hyperlink" Target="https://www.sec.gov/Archives/edgar/data/1484565/000119312516642505/d221558dex41.htm" TargetMode="External"/><Relationship Id="rId73" Type="http://schemas.openxmlformats.org/officeDocument/2006/relationships/hyperlink" Target="https://www.sec.gov/Archives/edgar/data/1484565/000119312516642505/d221558dex41.htm" TargetMode="External"/><Relationship Id="rId74" Type="http://schemas.openxmlformats.org/officeDocument/2006/relationships/hyperlink" Target="https://www.sec.gov/Archives/edgar/data/1484565/000119312516642505/d221558dex42.htm" TargetMode="External"/><Relationship Id="rId75" Type="http://schemas.openxmlformats.org/officeDocument/2006/relationships/hyperlink" Target="https://www.sec.gov/Archives/edgar/data/1484565/000119312516642505/d221558dex42.htm" TargetMode="External"/><Relationship Id="rId76" Type="http://schemas.openxmlformats.org/officeDocument/2006/relationships/hyperlink" Target="https://www.sec.gov/Archives/edgar/data/1484565/000148456517000004/ex41commonstockwarrant.htm" TargetMode="External"/><Relationship Id="rId77" Type="http://schemas.openxmlformats.org/officeDocument/2006/relationships/hyperlink" Target="https://www.sec.gov/Archives/edgar/data/1484565/000148456517000004/ex41commonstockwarrant.htm" TargetMode="External"/><Relationship Id="rId78" Type="http://schemas.openxmlformats.org/officeDocument/2006/relationships/hyperlink" Target="https://www.sec.gov/Archives/edgar/data/1484565/000148456517000004/ex41commonstockwarrant.htm" TargetMode="External"/><Relationship Id="rId79" Type="http://schemas.openxmlformats.org/officeDocument/2006/relationships/hyperlink" Target="https://www.sec.gov/Archives/edgar/data/1484565/000148456517000004/ex41commonstockwarrant.htm" TargetMode="External"/><Relationship Id="rId80" Type="http://schemas.openxmlformats.org/officeDocument/2006/relationships/hyperlink" Target="https://www.sec.gov/Archives/edgar/data/1484565/000156459020008705/slno-ex429_382.htm" TargetMode="External"/><Relationship Id="rId81" Type="http://schemas.openxmlformats.org/officeDocument/2006/relationships/hyperlink" Target="https://www.sec.gov/Archives/edgar/data/1484565/000119312522090063/d334959dex41.htm" TargetMode="External"/><Relationship Id="rId82" Type="http://schemas.openxmlformats.org/officeDocument/2006/relationships/hyperlink" Target="https://www.sec.gov/Archives/edgar/data/1484565/000119312522090063/d334959dex42.htm" TargetMode="External"/><Relationship Id="rId83" Type="http://schemas.openxmlformats.org/officeDocument/2006/relationships/hyperlink" Target="https://www.sec.gov/Archives/edgar/data/1484565/000119312522308395/d393394dex102.htm" TargetMode="External"/><Relationship Id="rId84" Type="http://schemas.openxmlformats.org/officeDocument/2006/relationships/hyperlink" Target="https://www.sec.gov/Archives/edgar/data/1484565/000119312522308395/d393394dex103.htm" TargetMode="External"/><Relationship Id="rId85" Type="http://schemas.openxmlformats.org/officeDocument/2006/relationships/hyperlink" Target="https://www.sec.gov/Archives/edgar/data/1484565/000119312515344002/d67111dex91.htm" TargetMode="External"/><Relationship Id="rId86" Type="http://schemas.openxmlformats.org/officeDocument/2006/relationships/hyperlink" Target="https://www.sec.gov/Archives/edgar/data/1484565/000119312515344002/d67111dex91.htm" TargetMode="External"/><Relationship Id="rId87" Type="http://schemas.openxmlformats.org/officeDocument/2006/relationships/hyperlink" Target="https://www.sec.gov/Archives/edgar/data/1484565/000119312516642505/d221558dex91.htm" TargetMode="External"/><Relationship Id="rId88" Type="http://schemas.openxmlformats.org/officeDocument/2006/relationships/hyperlink" Target="https://www.sec.gov/Archives/edgar/data/1484565/000119312516642505/d221558dex91.htm" TargetMode="External"/><Relationship Id="rId89" Type="http://schemas.openxmlformats.org/officeDocument/2006/relationships/hyperlink" Target="https://www.sec.gov/Archives/edgar/data/1484565/000119312516803934/d282262dex101.htm" TargetMode="External"/><Relationship Id="rId90" Type="http://schemas.openxmlformats.org/officeDocument/2006/relationships/hyperlink" Target="https://www.sec.gov/Archives/edgar/data/1484565/000119312516803934/d282262dex101.htm" TargetMode="External"/><Relationship Id="rId91" Type="http://schemas.openxmlformats.org/officeDocument/2006/relationships/hyperlink" Target="https://www.sec.gov/Archives/edgar/data/1484565/000119312514231812/d711637dex101.htm" TargetMode="External"/><Relationship Id="rId92" Type="http://schemas.openxmlformats.org/officeDocument/2006/relationships/hyperlink" Target="https://www.sec.gov/Archives/edgar/data/1484565/000119312514231812/d711637dex101.htm" TargetMode="External"/><Relationship Id="rId93" Type="http://schemas.openxmlformats.org/officeDocument/2006/relationships/hyperlink" Target="https://www.sec.gov/Archives/edgar/data/1484565/000119312514231812/d711637dex102.htm" TargetMode="External"/><Relationship Id="rId94" Type="http://schemas.openxmlformats.org/officeDocument/2006/relationships/hyperlink" Target="https://www.sec.gov/Archives/edgar/data/1484565/000119312514231812/d711637dex102.htm" TargetMode="External"/><Relationship Id="rId95" Type="http://schemas.openxmlformats.org/officeDocument/2006/relationships/hyperlink" Target="https://www.sec.gov/Archives/edgar/data/1484565/000119312514231812/d711637dex103.htm" TargetMode="External"/><Relationship Id="rId96" Type="http://schemas.openxmlformats.org/officeDocument/2006/relationships/hyperlink" Target="https://www.sec.gov/Archives/edgar/data/1484565/000119312514231812/d711637dex103.htm" TargetMode="External"/><Relationship Id="rId97" Type="http://schemas.openxmlformats.org/officeDocument/2006/relationships/hyperlink" Target="https://www.sec.gov/Archives/edgar/data/1484565/000119312514256995/d711637dex104.htm" TargetMode="External"/><Relationship Id="rId98" Type="http://schemas.openxmlformats.org/officeDocument/2006/relationships/hyperlink" Target="https://www.sec.gov/Archives/edgar/data/1484565/000119312514256995/d711637dex104.htm" TargetMode="External"/><Relationship Id="rId99" Type="http://schemas.openxmlformats.org/officeDocument/2006/relationships/hyperlink" Target="https://www.sec.gov/Archives/edgar/data/1484565/000119312514256995/d711637dex105.htm" TargetMode="External"/><Relationship Id="rId100" Type="http://schemas.openxmlformats.org/officeDocument/2006/relationships/hyperlink" Target="https://www.sec.gov/Archives/edgar/data/1484565/000119312514256995/d711637dex105.htm" TargetMode="External"/><Relationship Id="rId101" Type="http://schemas.openxmlformats.org/officeDocument/2006/relationships/hyperlink" Target="https://www.sec.gov/Archives/edgar/data/1484565/000119312514231812/d711637dex106.htm" TargetMode="External"/><Relationship Id="rId102" Type="http://schemas.openxmlformats.org/officeDocument/2006/relationships/hyperlink" Target="https://www.sec.gov/Archives/edgar/data/1484565/000119312514231812/d711637dex106.htm" TargetMode="External"/><Relationship Id="rId103" Type="http://schemas.openxmlformats.org/officeDocument/2006/relationships/hyperlink" Target="https://www.sec.gov/Archives/edgar/data/1484565/000119312514231812/d711637dex107.htm" TargetMode="External"/><Relationship Id="rId104" Type="http://schemas.openxmlformats.org/officeDocument/2006/relationships/hyperlink" Target="https://www.sec.gov/Archives/edgar/data/1484565/000119312514231812/d711637dex107.htm" TargetMode="External"/><Relationship Id="rId105" Type="http://schemas.openxmlformats.org/officeDocument/2006/relationships/hyperlink" Target="https://www.sec.gov/Archives/edgar/data/1484565/000119312514231812/d711637dex108.htm" TargetMode="External"/><Relationship Id="rId106" Type="http://schemas.openxmlformats.org/officeDocument/2006/relationships/hyperlink" Target="https://www.sec.gov/Archives/edgar/data/1484565/000119312514231812/d711637dex108.htm" TargetMode="External"/><Relationship Id="rId107" Type="http://schemas.openxmlformats.org/officeDocument/2006/relationships/hyperlink" Target="https://www.sec.gov/Archives/edgar/data/1484565/000119312514231812/d711637dex109.htm" TargetMode="External"/><Relationship Id="rId108" Type="http://schemas.openxmlformats.org/officeDocument/2006/relationships/hyperlink" Target="https://www.sec.gov/Archives/edgar/data/1484565/000119312514231812/d711637dex109.htm" TargetMode="External"/><Relationship Id="rId109" Type="http://schemas.openxmlformats.org/officeDocument/2006/relationships/hyperlink" Target="https://www.sec.gov/Archives/edgar/data/1484565/000119312514231812/d711637dex1010.htm" TargetMode="External"/><Relationship Id="rId110" Type="http://schemas.openxmlformats.org/officeDocument/2006/relationships/hyperlink" Target="https://www.sec.gov/Archives/edgar/data/1484565/000119312514231812/d711637dex1010.htm" TargetMode="External"/><Relationship Id="rId111" Type="http://schemas.openxmlformats.org/officeDocument/2006/relationships/hyperlink" Target="https://www.sec.gov/Archives/edgar/data/1484565/000119312514231812/d711637dex1011.htm" TargetMode="External"/><Relationship Id="rId112" Type="http://schemas.openxmlformats.org/officeDocument/2006/relationships/hyperlink" Target="https://www.sec.gov/Archives/edgar/data/1484565/000119312514231812/d711637dex1011.htm" TargetMode="External"/><Relationship Id="rId113" Type="http://schemas.openxmlformats.org/officeDocument/2006/relationships/hyperlink" Target="https://www.sec.gov/Archives/edgar/data/1484565/000119312514231812/d711637dex1012.htm" TargetMode="External"/><Relationship Id="rId114" Type="http://schemas.openxmlformats.org/officeDocument/2006/relationships/hyperlink" Target="https://www.sec.gov/Archives/edgar/data/1484565/000119312514231812/d711637dex1012.htm" TargetMode="External"/><Relationship Id="rId115" Type="http://schemas.openxmlformats.org/officeDocument/2006/relationships/hyperlink" Target="https://www.sec.gov/Archives/edgar/data/1484565/000119312514231812/d711637dex1013.htm" TargetMode="External"/><Relationship Id="rId116" Type="http://schemas.openxmlformats.org/officeDocument/2006/relationships/hyperlink" Target="https://www.sec.gov/Archives/edgar/data/1484565/000119312514231812/d711637dex1013.htm" TargetMode="External"/><Relationship Id="rId117" Type="http://schemas.openxmlformats.org/officeDocument/2006/relationships/hyperlink" Target="https://www.sec.gov/Archives/edgar/data/1484565/000119312514231812/d711637dex1014.htm" TargetMode="External"/><Relationship Id="rId118" Type="http://schemas.openxmlformats.org/officeDocument/2006/relationships/hyperlink" Target="https://www.sec.gov/Archives/edgar/data/1484565/000119312514231812/d711637dex1014.htm" TargetMode="External"/><Relationship Id="rId119" Type="http://schemas.openxmlformats.org/officeDocument/2006/relationships/hyperlink" Target="https://www.sec.gov/Archives/edgar/data/1484565/000119312514231812/d711637dex1015.htm" TargetMode="External"/><Relationship Id="rId120" Type="http://schemas.openxmlformats.org/officeDocument/2006/relationships/hyperlink" Target="https://www.sec.gov/Archives/edgar/data/1484565/000119312514231812/d711637dex1015.htm" TargetMode="External"/><Relationship Id="rId121" Type="http://schemas.openxmlformats.org/officeDocument/2006/relationships/hyperlink" Target="https://www.sec.gov/Archives/edgar/data/1484565/000119312514231812/d711637dex1016.htm" TargetMode="External"/><Relationship Id="rId122" Type="http://schemas.openxmlformats.org/officeDocument/2006/relationships/hyperlink" Target="https://www.sec.gov/Archives/edgar/data/1484565/000119312514231812/d711637dex1016.htm" TargetMode="External"/><Relationship Id="rId123" Type="http://schemas.openxmlformats.org/officeDocument/2006/relationships/hyperlink" Target="https://www.sec.gov/Archives/edgar/data/1484565/000119312514231812/d711637dex1017.htm" TargetMode="External"/><Relationship Id="rId124" Type="http://schemas.openxmlformats.org/officeDocument/2006/relationships/hyperlink" Target="https://www.sec.gov/Archives/edgar/data/1484565/000119312514231812/d711637dex1017.htm" TargetMode="External"/><Relationship Id="rId125" Type="http://schemas.openxmlformats.org/officeDocument/2006/relationships/hyperlink" Target="https://www.sec.gov/Archives/edgar/data/1484565/000119312514231812/d711637dex1018.htm" TargetMode="External"/><Relationship Id="rId126" Type="http://schemas.openxmlformats.org/officeDocument/2006/relationships/hyperlink" Target="https://www.sec.gov/Archives/edgar/data/1484565/000119312514231812/d711637dex1018.htm" TargetMode="External"/><Relationship Id="rId127" Type="http://schemas.openxmlformats.org/officeDocument/2006/relationships/hyperlink" Target="https://www.sec.gov/Archives/edgar/data/1484565/000119312514256995/d711637dex1019.htm" TargetMode="External"/><Relationship Id="rId128" Type="http://schemas.openxmlformats.org/officeDocument/2006/relationships/hyperlink" Target="https://www.sec.gov/Archives/edgar/data/1484565/000119312514256995/d711637dex1019.htm" TargetMode="External"/><Relationship Id="rId129" Type="http://schemas.openxmlformats.org/officeDocument/2006/relationships/hyperlink" Target="https://www.sec.gov/Archives/edgar/data/1484565/000119312514274666/d711637dex1020.htm" TargetMode="External"/><Relationship Id="rId130" Type="http://schemas.openxmlformats.org/officeDocument/2006/relationships/hyperlink" Target="https://www.sec.gov/Archives/edgar/data/1484565/000119312514274666/d711637dex1020.htm" TargetMode="External"/><Relationship Id="rId131" Type="http://schemas.openxmlformats.org/officeDocument/2006/relationships/hyperlink" Target="https://www.sec.gov/Archives/edgar/data/1484565/000119312514357384/d711637dex1021.htm" TargetMode="External"/><Relationship Id="rId132" Type="http://schemas.openxmlformats.org/officeDocument/2006/relationships/hyperlink" Target="https://www.sec.gov/Archives/edgar/data/1484565/000119312514357384/d711637dex1021.htm" TargetMode="External"/><Relationship Id="rId133" Type="http://schemas.openxmlformats.org/officeDocument/2006/relationships/hyperlink" Target="https://www.sec.gov/Archives/edgar/data/1484565/000119312514396517/d711637dex1022.htm" TargetMode="External"/><Relationship Id="rId134" Type="http://schemas.openxmlformats.org/officeDocument/2006/relationships/hyperlink" Target="https://www.sec.gov/Archives/edgar/data/1484565/000119312514396517/d711637dex1022.htm" TargetMode="External"/><Relationship Id="rId135" Type="http://schemas.openxmlformats.org/officeDocument/2006/relationships/hyperlink" Target="https://www.sec.gov/Archives/edgar/data/1484565/000119312514396517/d711637dex1023.htm" TargetMode="External"/><Relationship Id="rId136" Type="http://schemas.openxmlformats.org/officeDocument/2006/relationships/hyperlink" Target="https://www.sec.gov/Archives/edgar/data/1484565/000119312514396517/d711637dex1023.htm" TargetMode="External"/><Relationship Id="rId137" Type="http://schemas.openxmlformats.org/officeDocument/2006/relationships/hyperlink" Target="https://www.sec.gov/Archives/edgar/data/1484565/000119312515078868/d886135dex101.htm" TargetMode="External"/><Relationship Id="rId138" Type="http://schemas.openxmlformats.org/officeDocument/2006/relationships/hyperlink" Target="https://www.sec.gov/Archives/edgar/data/1484565/000119312515078868/d886135dex101.htm" TargetMode="External"/><Relationship Id="rId139" Type="http://schemas.openxmlformats.org/officeDocument/2006/relationships/hyperlink" Target="https://www.sec.gov/Archives/edgar/data/1484565/000119312515114723/d893037dex1025.htm" TargetMode="External"/><Relationship Id="rId140" Type="http://schemas.openxmlformats.org/officeDocument/2006/relationships/hyperlink" Target="https://www.sec.gov/Archives/edgar/data/1484565/000119312515114723/d893037dex1025.htm" TargetMode="External"/><Relationship Id="rId141" Type="http://schemas.openxmlformats.org/officeDocument/2006/relationships/hyperlink" Target="https://www.sec.gov/Archives/edgar/data/1484565/000119312515246752/d72536dex101.htm" TargetMode="External"/><Relationship Id="rId142" Type="http://schemas.openxmlformats.org/officeDocument/2006/relationships/hyperlink" Target="https://www.sec.gov/Archives/edgar/data/1484565/000119312515246752/d72536dex101.htm" TargetMode="External"/><Relationship Id="rId143" Type="http://schemas.openxmlformats.org/officeDocument/2006/relationships/hyperlink" Target="https://www.sec.gov/Archives/edgar/data/1484565/000119312515246752/d72536dex102.htm" TargetMode="External"/><Relationship Id="rId144" Type="http://schemas.openxmlformats.org/officeDocument/2006/relationships/hyperlink" Target="https://www.sec.gov/Archives/edgar/data/1484565/000119312515246752/d72536dex102.htm" TargetMode="External"/><Relationship Id="rId145" Type="http://schemas.openxmlformats.org/officeDocument/2006/relationships/hyperlink" Target="https://www.sec.gov/Archives/edgar/data/1484565/000119312515264172/d151899dex41.htm" TargetMode="External"/><Relationship Id="rId146" Type="http://schemas.openxmlformats.org/officeDocument/2006/relationships/hyperlink" Target="https://www.sec.gov/Archives/edgar/data/1484565/000119312515264172/d151899dex41.htm" TargetMode="External"/><Relationship Id="rId147" Type="http://schemas.openxmlformats.org/officeDocument/2006/relationships/hyperlink" Target="https://www.sec.gov/Archives/edgar/data/1484565/000119312515264172/d151899dex101.htm" TargetMode="External"/><Relationship Id="rId148" Type="http://schemas.openxmlformats.org/officeDocument/2006/relationships/hyperlink" Target="https://www.sec.gov/Archives/edgar/data/1484565/000119312515264172/d151899dex101.htm" TargetMode="External"/><Relationship Id="rId149" Type="http://schemas.openxmlformats.org/officeDocument/2006/relationships/hyperlink" Target="https://www.sec.gov/Archives/edgar/data/1484565/000119312515344002/d67111dex11.htm" TargetMode="External"/><Relationship Id="rId150" Type="http://schemas.openxmlformats.org/officeDocument/2006/relationships/hyperlink" Target="https://www.sec.gov/Archives/edgar/data/1484565/000119312515344002/d67111dex11.htm" TargetMode="External"/><Relationship Id="rId151" Type="http://schemas.openxmlformats.org/officeDocument/2006/relationships/hyperlink" Target="https://www.sec.gov/Archives/edgar/data/1484565/000119312515344002/d67111dex101.htm" TargetMode="External"/><Relationship Id="rId152" Type="http://schemas.openxmlformats.org/officeDocument/2006/relationships/hyperlink" Target="https://www.sec.gov/Archives/edgar/data/1484565/000119312515344002/d67111dex101.htm" TargetMode="External"/><Relationship Id="rId153" Type="http://schemas.openxmlformats.org/officeDocument/2006/relationships/hyperlink" Target="https://www.sec.gov/Archives/edgar/data/1484565/000119312515344002/d67111dex102.htm" TargetMode="External"/><Relationship Id="rId154" Type="http://schemas.openxmlformats.org/officeDocument/2006/relationships/hyperlink" Target="https://www.sec.gov/Archives/edgar/data/1484565/000119312515344002/d67111dex102.htm" TargetMode="External"/><Relationship Id="rId155" Type="http://schemas.openxmlformats.org/officeDocument/2006/relationships/hyperlink" Target="https://www.sec.gov/Archives/edgar/data/1484565/000119312515344002/d67111dex103.htm" TargetMode="External"/><Relationship Id="rId156" Type="http://schemas.openxmlformats.org/officeDocument/2006/relationships/hyperlink" Target="https://www.sec.gov/Archives/edgar/data/1484565/000119312515344002/d67111dex103.htm" TargetMode="External"/><Relationship Id="rId157" Type="http://schemas.openxmlformats.org/officeDocument/2006/relationships/hyperlink" Target="https://www.sec.gov/Archives/edgar/data/1484565/000119312515410913/d83264dex1033.htm" TargetMode="External"/><Relationship Id="rId158" Type="http://schemas.openxmlformats.org/officeDocument/2006/relationships/hyperlink" Target="https://www.sec.gov/Archives/edgar/data/1484565/000119312515410913/d83264dex1033.htm" TargetMode="External"/><Relationship Id="rId159" Type="http://schemas.openxmlformats.org/officeDocument/2006/relationships/hyperlink" Target="https://www.sec.gov/Archives/edgar/data/1484565/000119312516441799/d77178dex101.htm" TargetMode="External"/><Relationship Id="rId160" Type="http://schemas.openxmlformats.org/officeDocument/2006/relationships/hyperlink" Target="https://www.sec.gov/Archives/edgar/data/1484565/000119312516441799/d77178dex101.htm" TargetMode="External"/><Relationship Id="rId161" Type="http://schemas.openxmlformats.org/officeDocument/2006/relationships/hyperlink" Target="https://www.sec.gov/Archives/edgar/data/1484565/000119312516642505/d221558dex11.htm" TargetMode="External"/><Relationship Id="rId162" Type="http://schemas.openxmlformats.org/officeDocument/2006/relationships/hyperlink" Target="https://www.sec.gov/Archives/edgar/data/1484565/000119312516642505/d221558dex11.htm" TargetMode="External"/><Relationship Id="rId163" Type="http://schemas.openxmlformats.org/officeDocument/2006/relationships/hyperlink" Target="https://www.sec.gov/Archives/edgar/data/1484565/000119312516642505/d221558dex101.htm" TargetMode="External"/><Relationship Id="rId164" Type="http://schemas.openxmlformats.org/officeDocument/2006/relationships/hyperlink" Target="https://www.sec.gov/Archives/edgar/data/1484565/000119312516642505/d221558dex101.htm" TargetMode="External"/><Relationship Id="rId165" Type="http://schemas.openxmlformats.org/officeDocument/2006/relationships/hyperlink" Target="https://www.sec.gov/Archives/edgar/data/1484565/000119312516642505/d221558dex102.htm" TargetMode="External"/><Relationship Id="rId166" Type="http://schemas.openxmlformats.org/officeDocument/2006/relationships/hyperlink" Target="https://www.sec.gov/Archives/edgar/data/1484565/000119312516642505/d221558dex102.htm" TargetMode="External"/><Relationship Id="rId167" Type="http://schemas.openxmlformats.org/officeDocument/2006/relationships/hyperlink" Target="https://www.sec.gov/Archives/edgar/data/1484565/000119312516714955/d217110dex1039.htm" TargetMode="External"/><Relationship Id="rId168" Type="http://schemas.openxmlformats.org/officeDocument/2006/relationships/hyperlink" Target="https://www.sec.gov/Archives/edgar/data/1484565/000119312516714955/d217110dex1039.htm" TargetMode="External"/><Relationship Id="rId169" Type="http://schemas.openxmlformats.org/officeDocument/2006/relationships/hyperlink" Target="https://www.sec.gov/Archives/edgar/data/1484565/000119312516803934/d282262dex21.htm" TargetMode="External"/><Relationship Id="rId170" Type="http://schemas.openxmlformats.org/officeDocument/2006/relationships/hyperlink" Target="https://www.sec.gov/Archives/edgar/data/1484565/000119312516803934/d282262dex21.htm" TargetMode="External"/><Relationship Id="rId171" Type="http://schemas.openxmlformats.org/officeDocument/2006/relationships/hyperlink" Target="https://www.sec.gov/Archives/edgar/data/1484565/000119312517027623/d336318dex1051.htm" TargetMode="External"/><Relationship Id="rId172" Type="http://schemas.openxmlformats.org/officeDocument/2006/relationships/hyperlink" Target="https://www.sec.gov/Archives/edgar/data/1484565/000119312517027623/d336318dex1051.htm" TargetMode="External"/><Relationship Id="rId173" Type="http://schemas.openxmlformats.org/officeDocument/2006/relationships/hyperlink" Target="https://www.sec.gov/Archives/edgar/data/1484565/000119312517027623/d336318dex1052.htm" TargetMode="External"/><Relationship Id="rId174" Type="http://schemas.openxmlformats.org/officeDocument/2006/relationships/hyperlink" Target="https://www.sec.gov/Archives/edgar/data/1484565/000119312517027623/d336318dex1052.htm" TargetMode="External"/><Relationship Id="rId175" Type="http://schemas.openxmlformats.org/officeDocument/2006/relationships/hyperlink" Target="https://www.sec.gov/Archives/edgar/data/1484565/000162828017007221/ehx21.htm" TargetMode="External"/><Relationship Id="rId176" Type="http://schemas.openxmlformats.org/officeDocument/2006/relationships/hyperlink" Target="https://www.sec.gov/Archives/edgar/data/1484565/000162828017007221/ehx21.htm" TargetMode="External"/><Relationship Id="rId177" Type="http://schemas.openxmlformats.org/officeDocument/2006/relationships/hyperlink" Target="https://www.sec.gov/Archives/edgar/data/1484565/000162828017012274/ex21soleno-captainjvagreem.htm" TargetMode="External"/><Relationship Id="rId178" Type="http://schemas.openxmlformats.org/officeDocument/2006/relationships/hyperlink" Target="https://www.sec.gov/Archives/edgar/data/1484565/000162828017012274/ex21soleno-captainjvagreem.htm" TargetMode="External"/><Relationship Id="rId179" Type="http://schemas.openxmlformats.org/officeDocument/2006/relationships/hyperlink" Target="https://www.sec.gov/Archives/edgar/data/1484565/000148456517000004/ex101securitiespurchaseagr.htm" TargetMode="External"/><Relationship Id="rId180" Type="http://schemas.openxmlformats.org/officeDocument/2006/relationships/hyperlink" Target="https://www.sec.gov/Archives/edgar/data/1484565/000148456517000004/ex101securitiespurchaseagr.htm" TargetMode="External"/><Relationship Id="rId181" Type="http://schemas.openxmlformats.org/officeDocument/2006/relationships/hyperlink" Target="https://www.sec.gov/Archives/edgar/data/1484565/000119312518182178/d781173dex101.htm" TargetMode="External"/><Relationship Id="rId182" Type="http://schemas.openxmlformats.org/officeDocument/2006/relationships/hyperlink" Target="https://www.sec.gov/Archives/edgar/data/0001484565/000119312518353226/d653435dex101.htm" TargetMode="External"/><Relationship Id="rId183" Type="http://schemas.openxmlformats.org/officeDocument/2006/relationships/hyperlink" Target="https://www.sec.gov/Archives/edgar/data/0001484565/000156459019010146/slno-ex1048_141.htm" TargetMode="External"/><Relationship Id="rId184" Type="http://schemas.openxmlformats.org/officeDocument/2006/relationships/hyperlink" Target="https://www.sec.gov/Archives/edgar/data/1484565/000119312520181008/d940565dex11.htm" TargetMode="External"/><Relationship Id="rId185" Type="http://schemas.openxmlformats.org/officeDocument/2006/relationships/hyperlink" Target="https://www.sec.gov/Archives/edgar/data/1484565/000119312524019500/d721921dex101.htm" TargetMode="External"/><Relationship Id="rId186" Type="http://schemas.openxmlformats.org/officeDocument/2006/relationships/hyperlink" Target="https://www.sec.gov/Archives/edgar/data/1484565/000119312520292974/d937820dex101.htm" TargetMode="External"/><Relationship Id="rId187" Type="http://schemas.openxmlformats.org/officeDocument/2006/relationships/hyperlink" Target="https://www.sec.gov/Archives/edgar/data/1484565/000119312521008129/d15884dex101.htm" TargetMode="External"/><Relationship Id="rId188" Type="http://schemas.openxmlformats.org/officeDocument/2006/relationships/hyperlink" Target="https://www.sec.gov/Archives/edgar/data/1484565/000119312521008129/d15884dex102.htm" TargetMode="External"/><Relationship Id="rId189" Type="http://schemas.openxmlformats.org/officeDocument/2006/relationships/hyperlink" Target="https://www.sec.gov/Archives/edgar/data/1484565/000119312521008129/d15884dex103.htm" TargetMode="External"/><Relationship Id="rId190" Type="http://schemas.openxmlformats.org/officeDocument/2006/relationships/hyperlink" Target="https://www.sec.gov/Archives/edgar/data/0001484565/000156459021024047/slno-ex1055_99.htm" TargetMode="External"/><Relationship Id="rId191" Type="http://schemas.openxmlformats.org/officeDocument/2006/relationships/hyperlink" Target="https://www.sec.gov/Archives/edgar/data/1484565/000119312522308395/d393394dex101.htm" TargetMode="External"/><Relationship Id="rId192" Type="http://schemas.openxmlformats.org/officeDocument/2006/relationships/hyperlink" Target="https://www.sec.gov/Archives/edgar/data/1484565/000095017023039934/slno-ex10_1.htm" TargetMode="External"/><Relationship Id="rId193" Type="http://schemas.openxmlformats.org/officeDocument/2006/relationships/image" Target="media/image1.jpeg"/><Relationship Id="rId194" Type="http://schemas.openxmlformats.org/officeDocument/2006/relationships/image" Target="media/image2.jpeg"/><Relationship Id="rId195" Type="http://schemas.openxmlformats.org/officeDocument/2006/relationships/fontTable" Target="fontTable.xml"/><Relationship Id="rId1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67628</Words>
  <Characters>372728</Characters>
  <CharactersWithSpaces>442115</CharactersWithSpaces>
  <Paragraphs>8288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