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lno-20250930.htm"/>
      <w:bookmarkStart w:id="1" w:name="ksslno20250930"/>
      <w:bookmarkEnd w:id="0"/>
      <w:bookmarkEnd w:id="1"/>
      <w:r>
        <w:rPr/>
        <w:t> </w:t>
      </w:r>
    </w:p>
    <w:p>
      <w:pPr>
        <w:pStyle w:val="TextBody"/>
        <w:bidi w:val="0"/>
        <w:jc w:val="righ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September 30, 2025</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001-36593</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48"/>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77-0523891</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sz w:val="20"/>
        </w:rPr>
      </w:pPr>
      <w:r>
        <w:rPr>
          <w:rFonts w:ascii="Times New Roman" w:hAnsi="Times New Roman"/>
          <w:b/>
          <w:color w:val="000000"/>
          <w:sz w:val="19"/>
        </w:rPr>
        <w:t>100 Marine Parkway, Suite 400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9"/>
        </w:rPr>
        <w:t>Redwood City, California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9"/>
        </w:rPr>
        <w:t>94065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(Zip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9"/>
        </w:rPr>
        <w:t>(650) 213-8444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7248" w:type="dxa"/>
        <w:jc w:val="left"/>
        <w:tblInd w:w="0" w:type="dxa"/>
        <w:tblLayout w:type="fixed"/>
        <w:tblCellMar>
          <w:top w:w="28" w:type="dxa"/>
          <w:left w:w="28" w:type="dxa"/>
          <w:bottom w:w="28" w:type="dxa"/>
          <w:right w:w="28" w:type="dxa"/>
        </w:tblCellMar>
      </w:tblPr>
      <w:tblGrid>
        <w:gridCol w:w="2476"/>
        <w:gridCol w:w="1456"/>
        <w:gridCol w:w="3316"/>
      </w:tblGrid>
      <w:tr>
        <w:trPr/>
        <w:tc>
          <w:tcPr>
            <w:tcW w:w="247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248" w:type="dxa"/>
            <w:gridSpan w:val="3"/>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top w:val="single" w:sz="8" w:space="0" w:color="000000"/>
              <w:left w:val="single" w:sz="8" w:space="0" w:color="000000"/>
            </w:tcBorders>
            <w:tcMar>
              <w:top w:w="30" w:type="dxa"/>
              <w:left w:w="3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Title of each class</w:t>
            </w:r>
          </w:p>
        </w:tc>
        <w:tc>
          <w:tcPr>
            <w:tcW w:w="1456" w:type="dxa"/>
            <w:tcBorders>
              <w:top w:val="single" w:sz="8" w:space="0" w:color="000000"/>
              <w:left w:val="single" w:sz="8" w:space="0" w:color="000000"/>
            </w:tcBorders>
            <w:tcMar>
              <w:top w:w="30" w:type="dxa"/>
              <w:left w:w="3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Trading Symbol(s)</w:t>
            </w:r>
          </w:p>
        </w:tc>
        <w:tc>
          <w:tcPr>
            <w:tcW w:w="3316" w:type="dxa"/>
            <w:tcBorders>
              <w:top w:val="single" w:sz="8" w:space="0" w:color="000000"/>
              <w:left w:val="single" w:sz="8" w:space="0" w:color="000000"/>
              <w:right w:val="single" w:sz="8" w:space="0" w:color="000000"/>
            </w:tcBorders>
            <w:tcMar>
              <w:top w:w="30" w:type="dxa"/>
              <w:left w:w="30" w:type="dxa"/>
              <w:bottom w:w="0" w:type="dxa"/>
              <w:right w:w="3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 of each exchange on which registered</w:t>
            </w:r>
          </w:p>
        </w:tc>
      </w:tr>
      <w:tr>
        <w:trPr/>
        <w:tc>
          <w:tcPr>
            <w:tcW w:w="2476" w:type="dxa"/>
            <w:tcBorders>
              <w:top w:val="single" w:sz="8" w:space="0" w:color="000000"/>
              <w:left w:val="single" w:sz="8" w:space="0" w:color="000000"/>
              <w:bottom w:val="single" w:sz="8" w:space="0" w:color="000000"/>
            </w:tcBorders>
            <w:tcMar>
              <w:top w:w="30" w:type="dxa"/>
              <w:left w:w="30" w:type="dxa"/>
              <w:bottom w:w="3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$0.001 par value</w:t>
            </w:r>
          </w:p>
        </w:tc>
        <w:tc>
          <w:tcPr>
            <w:tcW w:w="1456" w:type="dxa"/>
            <w:tcBorders>
              <w:top w:val="single" w:sz="8" w:space="0" w:color="000000"/>
              <w:left w:val="single" w:sz="8" w:space="0" w:color="000000"/>
              <w:bottom w:val="single" w:sz="8" w:space="0" w:color="000000"/>
            </w:tcBorders>
            <w:tcMar>
              <w:top w:w="30" w:type="dxa"/>
              <w:left w:w="30" w:type="dxa"/>
              <w:bottom w:w="3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SLNO</w:t>
            </w:r>
          </w:p>
        </w:tc>
        <w:tc>
          <w:tcPr>
            <w:tcW w:w="3316" w:type="dxa"/>
            <w:tcBorders>
              <w:top w:val="single" w:sz="8" w:space="0" w:color="000000"/>
              <w:left w:val="single" w:sz="8" w:space="0" w:color="000000"/>
              <w:bottom w:val="single" w:sz="8" w:space="0" w:color="000000"/>
              <w:right w:val="single" w:sz="8" w:space="0" w:color="000000"/>
            </w:tcBorders>
            <w:tcMar>
              <w:top w:w="30" w:type="dxa"/>
              <w:left w:w="30" w:type="dxa"/>
              <w:bottom w:w="30" w:type="dxa"/>
              <w:right w:w="3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NASDAQ</w:t>
            </w:r>
          </w:p>
        </w:tc>
      </w:tr>
    </w:tbl>
    <w:p>
      <w:pPr>
        <w:pStyle w:val="TextBody"/>
        <w:bidi w:val="0"/>
        <w:spacing w:before="80" w:after="283"/>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before="0" w:after="20"/>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As of October 31, 2025, there were 53,710,025</w:t>
      </w:r>
      <w:r>
        <w:rPr>
          <w:rFonts w:ascii="Times New Roman" w:hAnsi="Times New Roman"/>
          <w:color w:val="000000"/>
          <w:sz w:val="20"/>
        </w:rPr>
        <w:t xml:space="preserve"> </w:t>
      </w:r>
      <w:r>
        <w:rPr>
          <w:rFonts w:ascii="Times New Roman" w:hAnsi="Times New Roman"/>
          <w:color w:val="000000"/>
          <w:sz w:val="17"/>
        </w:rPr>
        <w:t>shares of the registrant’s Common Stock, par value $0.001 per share, outstanding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49"/>
        <w:gridCol w:w="1456"/>
      </w:tblGrid>
      <w:tr>
        <w:trPr/>
        <w:tc>
          <w:tcPr>
            <w:tcW w:w="8749"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before="0" w:after="283"/>
              <w:jc w:val="left"/>
              <w:rPr>
                <w:sz w:val="4"/>
                <w:szCs w:val="4"/>
              </w:rPr>
            </w:pPr>
            <w:r>
              <w:rPr>
                <w:sz w:val="4"/>
                <w:szCs w:val="4"/>
              </w:rPr>
            </w:r>
          </w:p>
        </w:tc>
      </w:tr>
      <w:tr>
        <w:trPr/>
        <w:tc>
          <w:tcPr>
            <w:tcW w:w="87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b/>
                <w:color w:val="000000"/>
                <w:sz w:val="20"/>
              </w:rPr>
            </w:pPr>
            <w:r>
              <w:rPr>
                <w:rFonts w:ascii="Times New Roman" w:hAnsi="Times New Roman"/>
                <w:b/>
                <w:color w:val="000000"/>
                <w:sz w:val="20"/>
              </w:rPr>
              <w:t>Page</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financial_information">
              <w:r>
                <w:rPr>
                  <w:rStyle w:val="InternetLink"/>
                  <w:rFonts w:ascii="Times New Roman" w:hAnsi="Times New Roman"/>
                  <w:b/>
                  <w:color w:val="0000FF"/>
                  <w:sz w:val="20"/>
                  <w:u w:val="single"/>
                </w:rPr>
                <w:t>PART I—FINANCIAL INFORMATION</w:t>
              </w:r>
            </w:hyperlink>
            <w:r>
              <w:rPr>
                <w:rFonts w:ascii="Times New Roman" w:hAnsi="Times New Roman"/>
                <w:color w:val="000000"/>
                <w:sz w:val="20"/>
              </w:rPr>
              <w:t xml:space="preserve"> </w:t>
            </w:r>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1_financial_statements">
              <w:r>
                <w:rPr>
                  <w:rStyle w:val="InternetLink"/>
                  <w:rFonts w:ascii="Times New Roman" w:hAnsi="Times New Roman"/>
                  <w:color w:val="0000FF"/>
                  <w:sz w:val="20"/>
                  <w:u w:val="single"/>
                </w:rPr>
                <w:t>Item 1. Financial Statements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3</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3</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ndnsd_cnsldtd_stmnt_oprns_comprehensive">
              <w:r>
                <w:rPr>
                  <w:rStyle w:val="InternetLink"/>
                  <w:rFonts w:ascii="Times New Roman" w:hAnsi="Times New Roman"/>
                  <w:color w:val="0000FF"/>
                  <w:sz w:val="20"/>
                  <w:u w:val="single"/>
                </w:rPr>
                <w:t>Condensed Consolidated Statements of Operations and Comprehensive Income (Loss) (unaudited)</w:t>
              </w:r>
            </w:hyperlink>
            <w:hyperlink w:anchor="cndnsd_cnsldtd_stmnt_oprns_comprehensive">
              <w:r>
                <w:rPr>
                  <w:rStyle w:val="InternetLink"/>
                  <w:rFonts w:ascii="Times New Roman" w:hAnsi="Times New Roman"/>
                  <w:color w:val="0000FF"/>
                  <w:sz w:val="20"/>
                </w:rPr>
                <w:t xml:space="preserve"> </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4</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ondensed_consolidated_statements_stockh">
              <w:r>
                <w:rPr>
                  <w:rStyle w:val="InternetLink"/>
                  <w:rFonts w:ascii="Times New Roman" w:hAnsi="Times New Roman"/>
                  <w:color w:val="0000FF"/>
                  <w:sz w:val="20"/>
                  <w:u w:val="single"/>
                </w:rPr>
                <w:t>Condensed Consolidated Statements of Stockholders’ Equity (unaudited)</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5</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ndnsd_cnsolidated_statements_cash_flows">
              <w:r>
                <w:rPr>
                  <w:rStyle w:val="InternetLink"/>
                  <w:rFonts w:ascii="Times New Roman" w:hAnsi="Times New Roman"/>
                  <w:color w:val="0000FF"/>
                  <w:sz w:val="20"/>
                  <w:u w:val="single"/>
                </w:rPr>
                <w:t>Condensed Consolidated Statements of Cash Flows (unaudited)</w:t>
              </w:r>
            </w:hyperlink>
            <w:hyperlink w:anchor="cndnsd_cnsolidated_statements_cash_flows">
              <w:r>
                <w:rPr>
                  <w:rStyle w:val="InternetLink"/>
                  <w:rFonts w:ascii="Times New Roman" w:hAnsi="Times New Roman"/>
                  <w:color w:val="0000FF"/>
                  <w:sz w:val="20"/>
                </w:rPr>
                <w:t xml:space="preserve"> </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7</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notes_consolidated_financial_statements">
              <w:r>
                <w:rPr>
                  <w:rStyle w:val="InternetLink"/>
                  <w:rFonts w:ascii="Times New Roman" w:hAnsi="Times New Roman"/>
                  <w:color w:val="0000FF"/>
                  <w:sz w:val="20"/>
                  <w:u w:val="single"/>
                </w:rPr>
                <w:t>Notes to Condensed Consolidated Financial Statements (unaudited)</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8</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23</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3_quantitative_and_qualitative">
              <w:r>
                <w:rPr>
                  <w:rStyle w:val="InternetLink"/>
                  <w:rFonts w:ascii="Times New Roman" w:hAnsi="Times New Roman"/>
                  <w:color w:val="0000FF"/>
                  <w:sz w:val="20"/>
                  <w:u w:val="single"/>
                </w:rPr>
                <w:t>Item 3. Quantitative and Qualitative Disclosures About Market Risk</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28</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trols_and_procedures">
              <w:r>
                <w:rPr>
                  <w:rStyle w:val="InternetLink"/>
                  <w:rFonts w:ascii="Times New Roman" w:hAnsi="Times New Roman"/>
                  <w:color w:val="0000FF"/>
                  <w:sz w:val="20"/>
                  <w:u w:val="single"/>
                </w:rPr>
                <w:t>Item 4. Controls and Procedures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28</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b/>
                  <w:color w:val="0000FF"/>
                  <w:sz w:val="20"/>
                  <w:u w:val="single"/>
                </w:rPr>
                <w:t>PART II—OTHER INFORMATION</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_legal_proceedings">
              <w:r>
                <w:rPr>
                  <w:rStyle w:val="InternetLink"/>
                  <w:rFonts w:ascii="Times New Roman" w:hAnsi="Times New Roman"/>
                  <w:color w:val="0000FF"/>
                  <w:sz w:val="20"/>
                  <w:u w:val="single"/>
                </w:rPr>
                <w:t>Item 1. Legal Proceedings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a_risk_factors">
              <w:r>
                <w:rPr>
                  <w:rStyle w:val="InternetLink"/>
                  <w:rFonts w:ascii="Times New Roman" w:hAnsi="Times New Roman"/>
                  <w:color w:val="0000FF"/>
                  <w:sz w:val="20"/>
                  <w:u w:val="single"/>
                </w:rPr>
                <w:t>Item 1A. Risk Factors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63</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63</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63</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5_or_information">
              <w:r>
                <w:rPr>
                  <w:rStyle w:val="InternetLink"/>
                  <w:rFonts w:ascii="Times New Roman" w:hAnsi="Times New Roman"/>
                  <w:color w:val="0000FF"/>
                  <w:sz w:val="20"/>
                  <w:u w:val="single"/>
                </w:rPr>
                <w:t>Item 5. Other Information</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63</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6_exhibits">
              <w:r>
                <w:rPr>
                  <w:rStyle w:val="InternetLink"/>
                  <w:rFonts w:ascii="Times New Roman" w:hAnsi="Times New Roman"/>
                  <w:color w:val="0000FF"/>
                  <w:sz w:val="20"/>
                  <w:u w:val="single"/>
                </w:rPr>
                <w:t>Item 6. Exhibits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64</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hibit_index">
              <w:r>
                <w:rPr>
                  <w:rStyle w:val="InternetLink"/>
                  <w:rFonts w:ascii="Times New Roman" w:hAnsi="Times New Roman"/>
                  <w:b/>
                  <w:color w:val="0000FF"/>
                  <w:sz w:val="20"/>
                  <w:u w:val="single"/>
                </w:rPr>
                <w:t>EXHIBIT INDEX</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65</w:t>
            </w:r>
          </w:p>
        </w:tc>
      </w:tr>
      <w:tr>
        <w:trPr/>
        <w:tc>
          <w:tcPr>
            <w:tcW w:w="874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b/>
                  <w:color w:val="0000FF"/>
                  <w:sz w:val="20"/>
                  <w:u w:val="single"/>
                </w:rPr>
                <w:t>SIGNATURES</w:t>
              </w:r>
            </w:hyperlink>
          </w:p>
        </w:tc>
        <w:tc>
          <w:tcPr>
            <w:tcW w:w="1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sz w:val="20"/>
        </w:rPr>
      </w:pPr>
      <w:bookmarkStart w:id="4" w:name="item1_financial_statements"/>
      <w:bookmarkEnd w:id="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52"/>
        <w:gridCol w:w="146"/>
        <w:gridCol w:w="223"/>
        <w:gridCol w:w="895"/>
        <w:gridCol w:w="166"/>
        <w:gridCol w:w="146"/>
        <w:gridCol w:w="217"/>
        <w:gridCol w:w="867"/>
        <w:gridCol w:w="993"/>
      </w:tblGrid>
      <w:tr>
        <w:trPr/>
        <w:tc>
          <w:tcPr>
            <w:tcW w:w="6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87,928</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203,509</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293,889</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27,211</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330,972</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Contingent liability for Essentialis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49,828</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85,859</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10,000,000 shares authorized, no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100,000,000 shares authorized,</w:t>
              <w:br/>
              <w:t> 53,703,675 and 45,703,811 shares issued and outstanding at</w:t>
              <w:br/>
              <w: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696,966</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(452,260</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245,113</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330,972</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Soleno Therapeutics, Inc.</w:t>
      </w:r>
    </w:p>
    <w:p>
      <w:pPr>
        <w:pStyle w:val="TextBody"/>
        <w:bidi w:val="0"/>
        <w:jc w:val="center"/>
        <w:rPr>
          <w:rFonts w:ascii="Times New Roman" w:hAnsi="Times New Roman"/>
          <w:b/>
          <w:color w:val="000000"/>
          <w:sz w:val="20"/>
        </w:rPr>
      </w:pPr>
      <w:bookmarkStart w:id="6" w:name="cndnsd_cnsldtd_stmnt_oprns_comprehensive"/>
      <w:bookmarkEnd w:id="6"/>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0"/>
        <w:gridCol w:w="211"/>
        <w:gridCol w:w="1036"/>
        <w:gridCol w:w="166"/>
        <w:gridCol w:w="146"/>
        <w:gridCol w:w="211"/>
        <w:gridCol w:w="1036"/>
        <w:gridCol w:w="546"/>
        <w:gridCol w:w="546"/>
        <w:gridCol w:w="211"/>
        <w:gridCol w:w="1036"/>
        <w:gridCol w:w="166"/>
        <w:gridCol w:w="146"/>
        <w:gridCol w:w="211"/>
        <w:gridCol w:w="1036"/>
        <w:gridCol w:w="591"/>
      </w:tblGrid>
      <w:tr>
        <w:trPr/>
        <w:tc>
          <w:tcPr>
            <w:tcW w:w="2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(76,616</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(75,568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53,328,094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41,879,025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50,022,910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38,917,169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54,921,916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41,879,025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50,022,910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38,917,169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For the Three and Nine Months Ended September 30, 2025 and 2024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6"/>
        <w:gridCol w:w="146"/>
        <w:gridCol w:w="146"/>
        <w:gridCol w:w="916"/>
        <w:gridCol w:w="166"/>
        <w:gridCol w:w="146"/>
        <w:gridCol w:w="305"/>
        <w:gridCol w:w="446"/>
        <w:gridCol w:w="146"/>
        <w:gridCol w:w="146"/>
        <w:gridCol w:w="205"/>
        <w:gridCol w:w="726"/>
        <w:gridCol w:w="166"/>
        <w:gridCol w:w="146"/>
        <w:gridCol w:w="404"/>
        <w:gridCol w:w="902"/>
        <w:gridCol w:w="166"/>
        <w:gridCol w:w="146"/>
        <w:gridCol w:w="233"/>
        <w:gridCol w:w="893"/>
        <w:gridCol w:w="166"/>
        <w:gridCol w:w="146"/>
        <w:gridCol w:w="246"/>
        <w:gridCol w:w="869"/>
        <w:gridCol w:w="412"/>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45,703,811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245,113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exercise of stock options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(43,773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48,527,469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232,261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exercise of stock options and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withholding payments for net share-settled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50,437,066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240,140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 of common stock, net of issuance costs of $14,300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2,705,882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215,721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exercise of stock options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26,013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53,703,675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(474,728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494,805</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6"/>
        <w:gridCol w:w="146"/>
        <w:gridCol w:w="146"/>
        <w:gridCol w:w="916"/>
        <w:gridCol w:w="146"/>
        <w:gridCol w:w="146"/>
        <w:gridCol w:w="305"/>
        <w:gridCol w:w="446"/>
        <w:gridCol w:w="146"/>
        <w:gridCol w:w="146"/>
        <w:gridCol w:w="205"/>
        <w:gridCol w:w="726"/>
        <w:gridCol w:w="146"/>
        <w:gridCol w:w="146"/>
        <w:gridCol w:w="361"/>
        <w:gridCol w:w="945"/>
        <w:gridCol w:w="166"/>
        <w:gridCol w:w="146"/>
        <w:gridCol w:w="233"/>
        <w:gridCol w:w="893"/>
        <w:gridCol w:w="166"/>
        <w:gridCol w:w="146"/>
        <w:gridCol w:w="246"/>
        <w:gridCol w:w="869"/>
        <w:gridCol w:w="412"/>
      </w:tblGrid>
      <w:tr>
        <w:trPr/>
        <w:tc>
          <w:tcPr>
            <w:tcW w:w="1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31,678,159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157,507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exercise of stock options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warrants and pre-funded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33,337,079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143,386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restricted stock units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 of common stock, net of issuance costs of $9,746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148,955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warrants and pre-funded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(21,854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38,386,779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280,757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56,598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restricted stock units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warrants and pre-funded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(76,616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41,041,216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264,699</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ndnsd_cnsolidated_statements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9"/>
        <w:gridCol w:w="146"/>
        <w:gridCol w:w="222"/>
        <w:gridCol w:w="887"/>
        <w:gridCol w:w="175"/>
        <w:gridCol w:w="153"/>
        <w:gridCol w:w="222"/>
        <w:gridCol w:w="887"/>
        <w:gridCol w:w="814"/>
      </w:tblGrid>
      <w:tr>
        <w:trPr/>
        <w:tc>
          <w:tcPr>
            <w:tcW w:w="6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(119,868</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premium/discount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other current assets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12,977</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(267,936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(308,915</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191,530</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148,955</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common stock warrants and pre-funded common stock warrants, net of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received prior to and for the issuance of common stock and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 payments for net share-settled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237,061</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155,962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(121,268</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87,928</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169,681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246,662</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48,413</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operating and financing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obtained in exchange for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Soleno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September 30, 2025</w:t>
      </w:r>
    </w:p>
    <w:p>
      <w:pPr>
        <w:pStyle w:val="TextBody"/>
        <w:bidi w:val="0"/>
        <w:jc w:val="center"/>
        <w:rPr>
          <w:rFonts w:ascii="Times New Roman" w:hAnsi="Times New Roman"/>
          <w:sz w:val="20"/>
        </w:rPr>
      </w:pPr>
      <w:bookmarkStart w:id="9" w:name="notes_consolidated_financial_statements"/>
      <w:bookmarkEnd w:id="9"/>
      <w:r>
        <w:rPr>
          <w:rFonts w:ascii="Times New Roman" w:hAnsi="Times New Roman"/>
          <w:b/>
          <w:color w:val="000000"/>
          <w:sz w:val="18"/>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Note 1.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Soleno Therapeutics, Inc. (the Company or Soleno) is a biopharmaceutical company developing novel therapeutics for the treatment of rare diseases. On March 26, 2025, the Company announced that its lead product candidate, VYKAT</w:t>
      </w:r>
      <w:r>
        <w:rPr>
          <w:rFonts w:ascii="Times New Roman" w:hAnsi="Times New Roman"/>
          <w:color w:val="000000"/>
          <w:sz w:val="13"/>
        </w:rPr>
        <w:t>TM</w:t>
      </w:r>
      <w:r>
        <w:rPr>
          <w:rFonts w:ascii="Times New Roman" w:hAnsi="Times New Roman"/>
          <w:color w:val="000000"/>
          <w:sz w:val="20"/>
        </w:rPr>
        <w:t xml:space="preserve"> XR (diazoxide choline) extended-release tablets, formerly known as DCCR, had been approved by the U.S. Food and Drug Administration (FDA). VYKAT XR is indicated to treat hyperphagia in adults and pediatric patients four years of age and older with Prader-Willi syndrome (PWS). On April 14, 2025, the Company announced that prescriptions of VYKAT XR had been delivered to the first individuals living with PWS who had been prescribed the medication and began recognizing revenue from the sales of VYKAT XR during the three months ended June 30, 2025. The Company is incorporated in the State of Delaware and is headquartered in Redwood City, California.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used $1.9 million of net cash in its operating activities, had a net loss of $22.5 million during the nine months ended September 30, 2025 and had an accumulated deficit of $474.7 million at September 30, 2025 resulting from losses incurred since its inception. The Company had $246.7 million of cash and cash equivalents and $309.4 million of marketable securities on September 30, 2025. With FDA approval of VYKAT XR and first prescriptions being delivered in April 2025, the Company began recognizing revenue during the three months ended June 30, 2025 and became profitable for the three months ended September 30, 2025. The Company’s ability to sustain operating profitability is dependent upon continued successful commercialization of VYKAT XR.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Company had $50.0 million of debt outstanding under the loan and security agreement with Oxford Financing LLC and its affiliates (collectively, Oxford) entered into in December 2024. Under the terms of the loan agreement with Oxford, following FDA approval of VYKAT XR, an additional $50 million became available through September 30, 2025, but was not drawn down, and $25 million is available during the period October 1, 2025 to September 30, 2026. An additional tranche of $25 million may become available upon achievement of certain commercial milestones. A final $50 million may be made available upon the Company's mutual consent with Oxford. The loan carries an interest-only period of 48 months and a total term of 60 months; provided that if specific milestones are achieved prior to September 30, 2026, the interest-only period and maturity date will be extended by 12 months. The term loans accrue interest at a floating rate equal to, subject to certain conditions, (a) 1-month term SOFR plus (b) 5.50%.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Oxford loan and security agreement, the Company has financed its operations through issuance of equity securities. In July 2025, the Company closed an underwritten public offering of 2,705,882 shares of its common stock at an offering price of $85.00 per share, which included the exercise in full by the underwriters of their option to purchase additional shares. The gross proceeds of the public offering were $230.0 million, before deducting the underwriter discount and other offering expenses, totaling approximately $14.3 million.</w:t>
      </w:r>
    </w:p>
    <w:p>
      <w:pPr>
        <w:pStyle w:val="TextBody"/>
        <w:bidi w:val="0"/>
        <w:spacing w:before="120" w:after="283"/>
        <w:jc w:val="left"/>
        <w:rPr>
          <w:rFonts w:ascii="Times New Roman" w:hAnsi="Times New Roman"/>
          <w:sz w:val="20"/>
        </w:rPr>
      </w:pPr>
      <w:r>
        <w:rPr>
          <w:rFonts w:ascii="Times New Roman" w:hAnsi="Times New Roman"/>
          <w:color w:val="000000"/>
          <w:sz w:val="20"/>
        </w:rPr>
        <w:t>On July 19, 2024, the Company entered into an Open Market Sale Agreement</w:t>
      </w:r>
      <w:r>
        <w:rPr>
          <w:rFonts w:ascii="Times New Roman" w:hAnsi="Times New Roman"/>
          <w:color w:val="000000"/>
          <w:sz w:val="13"/>
        </w:rPr>
        <w:t xml:space="preserve">SM </w:t>
      </w:r>
      <w:r>
        <w:rPr>
          <w:rFonts w:ascii="Times New Roman" w:hAnsi="Times New Roman"/>
          <w:color w:val="000000"/>
          <w:sz w:val="20"/>
        </w:rPr>
        <w:t>(the Sales Agreement) with Jefferies LLC, as sales agent (Jefferies), pursuant to which the Company may offer and sell, from time to time, through Jefferies shares of its common stock having an aggregate offering price of up to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that its current cash, cash equivalents and marketable securities balances and cash flows from operations will be sufficient to enable the Company to meet its obligations for at least the next twelve months from the date of this filing.</w:t>
      </w:r>
    </w:p>
    <w:p>
      <w:pPr>
        <w:pStyle w:val="TextBody"/>
        <w:bidi w:val="0"/>
        <w:spacing w:before="360" w:after="283"/>
        <w:jc w:val="left"/>
        <w:rPr>
          <w:rFonts w:ascii="Times New Roman" w:hAnsi="Times New Roman"/>
          <w:sz w:val="20"/>
        </w:rPr>
      </w:pPr>
      <w:r>
        <w:rPr>
          <w:rFonts w:ascii="Times New Roman" w:hAnsi="Times New Roman"/>
          <w:b/>
          <w:color w:val="000000"/>
          <w:sz w:val="20"/>
        </w:rPr>
        <w:t>Note 3. Basis of Presentation and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the significant accounting policies during the three and nine months ended September 30, 2025 as compared to the significant accounting policies described in Note 3 of the “Notes to Consolidated Financial Statements” in the Company’s Annual Report on Form 10-K for the year ended December 31, 2024, except as noted below.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the Company have been prepared in accordance with U.S. generally accepted accounting principles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nine months ended September 30, 2025 are not necessarily indicative of the results that may be expected for any other interim period or for the fiscal year ending December 31, 2025. For further information, refer to the financial statements and footnotes included in the Company’s annual financial statements for the fiscal year ended December 31, 2024, which are included in the Company’s Annual Report on Form 10-K filed with the Securities Exchange Commission (SEC) on February 28, 2025.</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reserves for product sales, and the valuation of contingent liabilities for the purchase price of assets obtained through acquisition.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net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 with its customer has customary payment terms that require payment within 45 days. The Company analyzes amounts that are past due for collectability, and periodically evaluates the creditworthiness of its customer. Based on its assessment, as of September 30, 2025, the Company determined that an allowance for credit loss was not required.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Concentration of Major Customers and Off-Balance Sheet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contracts with one customer, its specialty pharmacy, to market and distribute VYKAT XR to patients in the United States. As of September 30, 2025, its accounts receivable, net are solely from sales of VYKAT XR, and are from this sole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dependency on one customer exposes it to several risks, including the potential for disruptions in its distribution network, changes in this customer's business strategies, or financial difficulties faced by this customer. Any significant disruption or change in the Company's relationship with this customer could materially and adversely affect its ability to effectively reach other potential end users and maintain its market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Company believes its relationship with this customer is strong and mutually beneficial, there can be no assurance that it will be able to maintain this relationship or that it will be able to replace this specialty pharmacy with alternative specialty pharmacies, if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relies on sole source suppliers and third-party manufacturers to supply raw materials and manufacture its product. The inability of these suppliers or manufacturers to fulfill supply requirements of the Company could materially impact future operating results. A change in the relationship with these suppliers or manufacturers, or an adverse change in their business, could materially impact future operating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recognizes revenue in accordance with ASC Topic 606, </w:t>
      </w:r>
      <w:r>
        <w:rPr>
          <w:rFonts w:ascii="Times New Roman" w:hAnsi="Times New Roman"/>
          <w:i/>
          <w:color w:val="000000"/>
          <w:sz w:val="20"/>
        </w:rPr>
        <w:t>Revenue from Contracts with Customers</w:t>
      </w:r>
      <w:r>
        <w:rPr>
          <w:rFonts w:ascii="Times New Roman" w:hAnsi="Times New Roman"/>
          <w:color w:val="000000"/>
          <w:sz w:val="20"/>
        </w:rPr>
        <w:t>, or ASC 606. Under ASC 606, an entity recognizes revenue when its customer obtains control of promised goods or services in an amount that reflects the consideration which the entity expects to receive in exchange for those goods or services.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sells its product to one specialty pharmacy. The product is distributed through a third-party logistics distribution agent (3PL) that does not take title to the product. In the Company's agreement with the 3PL, the Company acts as principal because it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retains control of the product. Once the product is delivered to the Company’s specialty pharmacy, the specialty pharmacy takes title to the product. The specialty pharmacy then distributes the product to patients. The Company offers returns of product sold to the customer on a limited basis; however, no material returns have been recognized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product sales is recognized when the customer obtains control of the Company's product, which occurs at the point in time that there is a transfer of title to the customer. The Company has no other performance obligations besides the sale of product. The Company classifies payments to its customers or other parties in the distribution channel for services that are distinct and priced at fair value as selling, general and administrative expenses in its condensed consolidated statements of operations and comprehensive income (loss). Otherwise, payments to a customer or other parties in the distribution channel that do not meet those criteria are classified as a reduction of revenue, as discussed further below. Because the Company's payment terms are 45 days or less, the Company concluded there is not a significant financing component. The Company expenses incremental costs of obtaining a contract as and when incurred since the expected amortization period of the asset that the Company would have recognized is one year or less.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Reserves for Variable Consideration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Revenues from product sales are recorded at the net sales price, or the transaction price, which includes estimates of variable consideration for which reserves are established and which result from rebates, discounts, returns, and co-pay assistance that are offered within the contract between the Company and its customer relating to the sale of VYKAT XR. These reserves are based on the amounts earned or to be claimed on the related sales and are classified as reductions of accounts receivable (if the amount is payable to the customer) or a current liability (if the amount is payable to a party other than the customer). Where appropriate, these estimates take into consideration a range of possible outcomes that are 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the Company's estimates. If actual results in the future vary from the Company's estimates, it will adjust these estimates, which would affect net product revenue and earnings in the period such variances become known.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are the components of variable consideration related to product revenue:</w:t>
      </w:r>
    </w:p>
    <w:p>
      <w:pPr>
        <w:pStyle w:val="TextBody"/>
        <w:bidi w:val="0"/>
        <w:spacing w:before="0" w:after="240"/>
        <w:jc w:val="left"/>
        <w:rPr>
          <w:rFonts w:ascii="Times New Roman" w:hAnsi="Times New Roman"/>
          <w:sz w:val="20"/>
        </w:rPr>
      </w:pPr>
      <w:r>
        <w:rPr>
          <w:rFonts w:ascii="Times New Roman" w:hAnsi="Times New Roman"/>
          <w:i/>
          <w:color w:val="000000"/>
          <w:sz w:val="20"/>
        </w:rPr>
        <w:t>Government rebates:</w:t>
      </w:r>
      <w:r>
        <w:rPr>
          <w:rFonts w:ascii="Times New Roman" w:hAnsi="Times New Roman"/>
          <w:color w:val="000000"/>
          <w:sz w:val="20"/>
        </w:rPr>
        <w:t xml:space="preserve"> The Company is subject to discount obligations under several government programs, including Medicaid programs, Medicare and TRICARE in the United States. The Company estimates these rebates based upon a range of possible outcomes that are weighted for the estimated payer mix. These reserves are recorded in the same period that the related revenue is recognized, resulting in a reduction of product revenue and the establishment of a liability that is included in accrued expenses and other current liabilities on the Company's condensed consolidated balance sheets. On a quarterly basis, the Company updates its estimates and records any adjustments in the period that it identifies the adjustments.</w:t>
      </w:r>
    </w:p>
    <w:p>
      <w:pPr>
        <w:pStyle w:val="TextBody"/>
        <w:bidi w:val="0"/>
        <w:spacing w:before="0" w:after="240"/>
        <w:jc w:val="left"/>
        <w:rPr>
          <w:rFonts w:ascii="Times New Roman" w:hAnsi="Times New Roman"/>
          <w:sz w:val="20"/>
        </w:rPr>
      </w:pPr>
      <w:r>
        <w:rPr>
          <w:rFonts w:ascii="Times New Roman" w:hAnsi="Times New Roman"/>
          <w:i/>
          <w:color w:val="000000"/>
          <w:sz w:val="20"/>
        </w:rPr>
        <w:t>Trade discounts and allowances:</w:t>
      </w:r>
      <w:r>
        <w:rPr>
          <w:rFonts w:ascii="Times New Roman" w:hAnsi="Times New Roman"/>
          <w:color w:val="000000"/>
          <w:sz w:val="20"/>
        </w:rPr>
        <w:t xml:space="preserve"> The Company provides discounts on VYKAT XR sales to its customer for prompt payment. This discount is recorded as a reduction of revenue in the period the related product revenue is recognized. In addition, the Company receives and pays for various distribution services from its customer in the distribution channel.</w:t>
      </w:r>
    </w:p>
    <w:p>
      <w:pPr>
        <w:pStyle w:val="TextBody"/>
        <w:bidi w:val="0"/>
        <w:spacing w:before="0" w:after="240"/>
        <w:jc w:val="left"/>
        <w:rPr>
          <w:rFonts w:ascii="Times New Roman" w:hAnsi="Times New Roman"/>
          <w:sz w:val="20"/>
        </w:rPr>
      </w:pPr>
      <w:r>
        <w:rPr>
          <w:rFonts w:ascii="Times New Roman" w:hAnsi="Times New Roman"/>
          <w:i/>
          <w:color w:val="000000"/>
          <w:sz w:val="20"/>
        </w:rPr>
        <w:t>Product returns:</w:t>
      </w:r>
      <w:r>
        <w:rPr>
          <w:rFonts w:ascii="Times New Roman" w:hAnsi="Times New Roman"/>
          <w:color w:val="000000"/>
          <w:sz w:val="20"/>
        </w:rPr>
        <w:t xml:space="preserve"> The Company's customer has limited return rights related to unexpected instances in which the product is found to be damaged or defective. The Company estimates the amount of product sales that may be returned and records the estimate as a reduction of revenue and a refund liability in the period in which the related product revenue is recognized. Based on the distribution model for VYKAT XR, the Company believes there will be minimal returns as such returns have not been material to date.</w:t>
      </w:r>
    </w:p>
    <w:p>
      <w:pPr>
        <w:pStyle w:val="TextBody"/>
        <w:bidi w:val="0"/>
        <w:spacing w:before="0" w:after="240"/>
        <w:jc w:val="left"/>
        <w:rPr>
          <w:rFonts w:ascii="Times New Roman" w:hAnsi="Times New Roman"/>
          <w:sz w:val="20"/>
        </w:rPr>
      </w:pPr>
      <w:r>
        <w:rPr>
          <w:rFonts w:ascii="Times New Roman" w:hAnsi="Times New Roman"/>
          <w:i/>
          <w:color w:val="000000"/>
          <w:sz w:val="20"/>
        </w:rPr>
        <w:t>Other incentives:</w:t>
      </w:r>
      <w:r>
        <w:rPr>
          <w:rFonts w:ascii="Times New Roman" w:hAnsi="Times New Roman"/>
          <w:color w:val="000000"/>
          <w:sz w:val="20"/>
        </w:rPr>
        <w:t xml:space="preserve"> Other incentives include co-payment assistance the Company provides to patients with commercial insurance that have coverage and reside in states that allow co-payment assistance. The calculation of the accrual for co-pay assistance is based on an estimate of claims and the cost per claim that the Company expects to receive associated with product that has been recognized as revenue. The estimate is recorded as a reduction of revenue in the same period the related revenue is recognized.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Provisions for trade discounts and allowances are recorded as reductions to accounts receivable, and returns, government rebates, and other incentives are recorded as a component of accrued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table below summarizes balances and activity in each of the product revenue allowance and reserve categories as follows (in thousands):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1"/>
        <w:gridCol w:w="146"/>
        <w:gridCol w:w="196"/>
        <w:gridCol w:w="601"/>
        <w:gridCol w:w="166"/>
        <w:gridCol w:w="146"/>
        <w:gridCol w:w="576"/>
        <w:gridCol w:w="1685"/>
        <w:gridCol w:w="166"/>
        <w:gridCol w:w="146"/>
        <w:gridCol w:w="764"/>
        <w:gridCol w:w="1700"/>
        <w:gridCol w:w="166"/>
        <w:gridCol w:w="146"/>
        <w:gridCol w:w="196"/>
        <w:gridCol w:w="601"/>
        <w:gridCol w:w="293"/>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Rebates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Discounts and Chargebacks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Copay Assistance and Returns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13,678</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Credits/payments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(3,209</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10,469</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 capitalizes inventory costs associated with products when future economic benefit is expected to be realized. These costs consist of raw materials, manufacturing-related costs, personnel costs including stock-based compensation, facility costs, and other indirect overhead costs. Prior to receiving FDA approval for VYKAT XR in March 2025, the Company expensed costs related to inventory for clinical and pre-commercial purposes directly to research and development expense. Following the FDA’s approval of VYKAT XR, the Company began capitalizing inventory related to commercialized products held for sale, in-process of production for sale, and raw materials to be used in the manufacturing of inventory.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values inventory at the lower of cost or estimated net realizable value. The Company determines the cost of inventory, which includes amounts related to materials and manufacturing overhead, on a first-in, first-out basis. Raw materials and work in process includes all inventory costs prior to packaging and labeling, including raw materials, active pharmaceutical ingredient, and drug product. Finished goods include packaged and labeled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 On a quarterly basis, the Company analyzes its inventory levels for excess quantities and obsolescence (expiration), taking into account factors such as historical and anticipated future sales compared to quantities on hand and the remaining shelf life.</w:t>
      </w:r>
    </w:p>
    <w:p>
      <w:pPr>
        <w:pStyle w:val="TextBody"/>
        <w:bidi w:val="0"/>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Cost of goods sold consists of manufacturing costs, transportation and freight, amortization of capitalized intangibles, royalty payments and indirect overhead costs associated with the manufacturing and distribution of VYKAT XR. Cost of goods sold may also include periodic costs related to certain manufacturing services and inventory adjustment charges. Finally, cost of goods sold may also include costs related to excess or obsolete inventory adjustment charges, abnormal costs, unabsorbed manufacturing and overhead costs, and manufacturing variances.</w:t>
      </w:r>
    </w:p>
    <w:p>
      <w:pPr>
        <w:pStyle w:val="TextBody"/>
        <w:bidi w:val="0"/>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that are adopted by the Company as of the specified effective date.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Improvements to Income Tax Disclosures, </w:t>
      </w:r>
      <w:r>
        <w:rPr>
          <w:rFonts w:ascii="Times New Roman" w:hAnsi="Times New Roman"/>
          <w:color w:val="000000"/>
          <w:sz w:val="20"/>
        </w:rPr>
        <w:t xml:space="preserve">which amends the guidance in </w:t>
      </w:r>
      <w:r>
        <w:rPr>
          <w:rFonts w:ascii="Times New Roman" w:hAnsi="Times New Roman"/>
          <w:i/>
          <w:color w:val="000000"/>
          <w:sz w:val="20"/>
        </w:rPr>
        <w:t>ASC 740, Income Taxes</w:t>
      </w:r>
      <w:r>
        <w:rPr>
          <w:rFonts w:ascii="Times New Roman" w:hAnsi="Times New Roman"/>
          <w:color w:val="000000"/>
          <w:sz w:val="20"/>
        </w:rPr>
        <w:t>.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Adoption is permitted either prospectively or retrospectively. The Company is evaluating the effect that ASU 2023-09 will have on its annual financial statements and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 - Reporting Comprehensive Income - Expense Disaggregation Disclosures (Subtopic 220-40): Disaggregation of Income Statement Expense, </w:t>
      </w:r>
      <w:r>
        <w:rPr>
          <w:rFonts w:ascii="Times New Roman" w:hAnsi="Times New Roman"/>
          <w:color w:val="000000"/>
          <w:sz w:val="20"/>
        </w:rPr>
        <w:t>which requires the disclosure of additional information related to certain costs and 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fiscal years beginning after December 15, 2026, and for interim periods within fiscal years beginning after December 15, 2027. The Company is evaluating the effect that ASU 2024-03 will have on its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 of the Company’s cash, cash equivalents and accounts payable, approximate fair value due to the short-term nature of these items.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hierarchy defines a three-level valuation hierarchy for disclosure of fair value measurements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 — Unadjusted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III — Unobservable inputs that are supported by little or no market activity for the related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categorization of a financial instrument within the valuation hierarchy is based upon the lowest level of input that is significant to the fair value measurement.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Marketable securities, all of which are classified as available-for-sale securities, consisted of the following at September 30,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4"/>
        <w:gridCol w:w="146"/>
        <w:gridCol w:w="282"/>
        <w:gridCol w:w="998"/>
        <w:gridCol w:w="146"/>
        <w:gridCol w:w="146"/>
        <w:gridCol w:w="471"/>
        <w:gridCol w:w="905"/>
        <w:gridCol w:w="146"/>
        <w:gridCol w:w="146"/>
        <w:gridCol w:w="516"/>
        <w:gridCol w:w="914"/>
        <w:gridCol w:w="166"/>
        <w:gridCol w:w="146"/>
        <w:gridCol w:w="365"/>
        <w:gridCol w:w="1291"/>
        <w:gridCol w:w="197"/>
      </w:tblGrid>
      <w:tr>
        <w:trPr/>
        <w:tc>
          <w:tcPr>
            <w:tcW w:w="3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Fair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206,132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debt securities and 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100,273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309,420</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Company’s financial instruments that were measured at fair value on a recurring basis by level within the fair value hierarchy (in thousands): </w:t>
      </w:r>
    </w:p>
    <w:p>
      <w:pPr>
        <w:pStyle w:val="TextBody"/>
        <w:bidi w:val="0"/>
        <w:jc w:val="left"/>
        <w:rPr/>
      </w:pPr>
      <w:r>
        <w:rPr/>
        <w:t> </w:t>
      </w:r>
    </w:p>
    <w:tbl>
      <w:tblPr>
        <w:tblW w:w="9352" w:type="dxa"/>
        <w:jc w:val="left"/>
        <w:tblInd w:w="0" w:type="dxa"/>
        <w:tblLayout w:type="fixed"/>
        <w:tblCellMar>
          <w:top w:w="28" w:type="dxa"/>
          <w:left w:w="28" w:type="dxa"/>
          <w:bottom w:w="28" w:type="dxa"/>
          <w:right w:w="28" w:type="dxa"/>
        </w:tblCellMar>
      </w:tblPr>
      <w:tblGrid>
        <w:gridCol w:w="4076"/>
        <w:gridCol w:w="146"/>
        <w:gridCol w:w="211"/>
        <w:gridCol w:w="781"/>
        <w:gridCol w:w="146"/>
        <w:gridCol w:w="146"/>
        <w:gridCol w:w="211"/>
        <w:gridCol w:w="781"/>
        <w:gridCol w:w="146"/>
        <w:gridCol w:w="146"/>
        <w:gridCol w:w="211"/>
        <w:gridCol w:w="781"/>
        <w:gridCol w:w="146"/>
        <w:gridCol w:w="146"/>
        <w:gridCol w:w="211"/>
        <w:gridCol w:w="676"/>
        <w:gridCol w:w="391"/>
      </w:tblGrid>
      <w:tr>
        <w:trPr/>
        <w:tc>
          <w:tcPr>
            <w:tcW w:w="4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 and 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Essentialis purchase price contingency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247" w:type="dxa"/>
        <w:jc w:val="left"/>
        <w:tblInd w:w="0" w:type="dxa"/>
        <w:tblLayout w:type="fixed"/>
        <w:tblCellMar>
          <w:top w:w="28" w:type="dxa"/>
          <w:left w:w="28" w:type="dxa"/>
          <w:bottom w:w="28" w:type="dxa"/>
          <w:right w:w="28" w:type="dxa"/>
        </w:tblCellMar>
      </w:tblPr>
      <w:tblGrid>
        <w:gridCol w:w="4076"/>
        <w:gridCol w:w="146"/>
        <w:gridCol w:w="211"/>
        <w:gridCol w:w="781"/>
        <w:gridCol w:w="146"/>
        <w:gridCol w:w="146"/>
        <w:gridCol w:w="211"/>
        <w:gridCol w:w="676"/>
        <w:gridCol w:w="146"/>
        <w:gridCol w:w="146"/>
        <w:gridCol w:w="211"/>
        <w:gridCol w:w="781"/>
        <w:gridCol w:w="146"/>
        <w:gridCol w:w="146"/>
        <w:gridCol w:w="211"/>
        <w:gridCol w:w="676"/>
        <w:gridCol w:w="391"/>
      </w:tblGrid>
      <w:tr>
        <w:trPr/>
        <w:tc>
          <w:tcPr>
            <w:tcW w:w="4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 and 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Essentialis purchase price contingency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terms of the Company’s completed merger with Essentialis on March 7, 2017, the Company is obligated to make cash earnout payments of up to a maximum of $21.2 million to the former Essentialis stockholders. The fair value of the Essentialis purchase price contingent liability has historically been estimated using scenario-based methods based upon the Company’s analysis of the likelihood of obtaining specified approvals from the FDA as well as achieving two commercial sales milestones of $100 million and $200 million in cumulative revenue. The Level 3 estimates are based, in part, on subjective assumptions. As of September 30, 2025, following the receipt of FDA approval for VYKAT XR, the Company no longer considers FDA approval as a variable and determined a 100% probability of achieving the remaining two milestones. Prior to receiving FDA approval, management relied on published research relating to clinical development success rates to determine the likelihood of FDA approval occurring. Based on this assessment, an 88% probability of achieving all three milestones was determined to be reasonable as of December 31, 2024. During the periods presented, other than as discussed above regarding the receipt of FDA approval for VYKAT XR, the Company has not changed the manner in which it values its Essentialis purchase price contingent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transfers between levels of the fair value hierarchy as of the end of the reporting period. There were no transfers between levels within the hierarchy during the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the changes in the fair value of the Company’s Level 3 liabilities for the nine months ended September 30, 2025 and 2024 (in thousands): </w:t>
      </w:r>
    </w:p>
    <w:p>
      <w:pPr>
        <w:pStyle w:val="TextBody"/>
        <w:bidi w:val="0"/>
        <w:jc w:val="left"/>
        <w:rPr/>
      </w:pPr>
      <w:r>
        <w:rPr/>
        <w:t> </w:t>
      </w:r>
    </w:p>
    <w:tbl>
      <w:tblPr>
        <w:tblW w:w="4373" w:type="dxa"/>
        <w:jc w:val="left"/>
        <w:tblInd w:w="0" w:type="dxa"/>
        <w:tblLayout w:type="fixed"/>
        <w:tblCellMar>
          <w:top w:w="28" w:type="dxa"/>
          <w:left w:w="28" w:type="dxa"/>
          <w:bottom w:w="28" w:type="dxa"/>
          <w:right w:w="28" w:type="dxa"/>
        </w:tblCellMar>
      </w:tblPr>
      <w:tblGrid>
        <w:gridCol w:w="2806"/>
        <w:gridCol w:w="146"/>
        <w:gridCol w:w="302"/>
        <w:gridCol w:w="928"/>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Purchase Price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Contingent</w:t>
              <w:br/>
              <w:t>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value of contingent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Purchase Price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Contingent</w:t>
              <w:br/>
              <w:t>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value of contingent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5. Balance Sheet Components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Inventory consisted of the following (in thousands):</w:t>
      </w:r>
    </w:p>
    <w:p>
      <w:pPr>
        <w:pStyle w:val="TextBody"/>
        <w:bidi w:val="0"/>
        <w:spacing w:before="160" w:after="283"/>
        <w:jc w:val="left"/>
        <w:rPr/>
      </w:pPr>
      <w:r>
        <w:rPr/>
        <w:t> </w:t>
      </w:r>
    </w:p>
    <w:tbl>
      <w:tblPr>
        <w:tblW w:w="6875" w:type="dxa"/>
        <w:jc w:val="left"/>
        <w:tblInd w:w="0" w:type="dxa"/>
        <w:tblLayout w:type="fixed"/>
        <w:tblCellMar>
          <w:top w:w="28" w:type="dxa"/>
          <w:left w:w="28" w:type="dxa"/>
          <w:bottom w:w="28" w:type="dxa"/>
          <w:right w:w="28" w:type="dxa"/>
        </w:tblCellMar>
      </w:tblPr>
      <w:tblGrid>
        <w:gridCol w:w="3991"/>
        <w:gridCol w:w="146"/>
        <w:gridCol w:w="307"/>
        <w:gridCol w:w="833"/>
        <w:gridCol w:w="166"/>
        <w:gridCol w:w="146"/>
        <w:gridCol w:w="613"/>
        <w:gridCol w:w="482"/>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Reserve for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current liabilities consisted of the following (in thousands):</w:t>
      </w:r>
    </w:p>
    <w:p>
      <w:pPr>
        <w:pStyle w:val="TextBody"/>
        <w:bidi w:val="0"/>
        <w:jc w:val="left"/>
        <w:rPr/>
      </w:pPr>
      <w:r>
        <w:rPr/>
        <w:t> </w:t>
      </w:r>
    </w:p>
    <w:tbl>
      <w:tblPr>
        <w:tblW w:w="8190" w:type="dxa"/>
        <w:jc w:val="left"/>
        <w:tblInd w:w="0" w:type="dxa"/>
        <w:tblLayout w:type="fixed"/>
        <w:tblCellMar>
          <w:top w:w="28" w:type="dxa"/>
          <w:left w:w="28" w:type="dxa"/>
          <w:bottom w:w="28" w:type="dxa"/>
          <w:right w:w="28" w:type="dxa"/>
        </w:tblCellMar>
      </w:tblPr>
      <w:tblGrid>
        <w:gridCol w:w="5326"/>
        <w:gridCol w:w="146"/>
        <w:gridCol w:w="271"/>
        <w:gridCol w:w="869"/>
        <w:gridCol w:w="146"/>
        <w:gridCol w:w="146"/>
        <w:gridCol w:w="294"/>
        <w:gridCol w:w="801"/>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reserve for rebates, returns, and other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site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6.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13, 2024, the Company entered into a new office lease in Redwood City, California for office space for its headquarters facility. The lease provides office space of approximately 18,026 square feet and for base monthly rent payments beginning at $57,400 that increase annually by approximately 3.0% over the term of five years from the date of occupancy. In addition to base rent, the Company has agreed to reimburse the landlord for certain operating expenses under the terms of the lease. The lease commencement date was September 1, 2024 when the premises became available for occupancy. The Company’s operating lease for its predecessor headquarters facility office space in Redwood City, California began on June 1, 2023 and expired in May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operating lease right-of-use (ROU) assets, current operating lease liabilities and long-term operating lease liabilities each appear as a separate line within the Company's condensed consolidated balance sheets. In September 2024, the Company recorded an increase to its ROU assets by $2.8 million and an increase to its lease liability of $2.8 million as a result of the June 2024 office lease. As of September 30, 2025 and December 31, 2024, the Company's short-term lease liabilities were equal to $0.7 million and $0.5 million, respectively, and the long-term operating lease liabilities were equal to $2.1 million and $2.5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discount rate related to the Company's lease liabilities was 8.5% as of September 30, 2025 over a remaining term of 3.9 years, and 8.5% as of December 31, 2024 over a remaining term of 4.7 years. The discount rate was determined based on estimates of the Company’s incremental borrowing rate, as the discount rate implicit in the lease cannot be readily determined.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expense during the three and nine months ended September 30, 2025 and 2024 were as follows (in thousands):</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2206"/>
        <w:gridCol w:w="217"/>
        <w:gridCol w:w="434"/>
        <w:gridCol w:w="150"/>
        <w:gridCol w:w="150"/>
        <w:gridCol w:w="217"/>
        <w:gridCol w:w="434"/>
        <w:gridCol w:w="146"/>
        <w:gridCol w:w="146"/>
        <w:gridCol w:w="211"/>
        <w:gridCol w:w="421"/>
        <w:gridCol w:w="146"/>
        <w:gridCol w:w="146"/>
        <w:gridCol w:w="211"/>
        <w:gridCol w:w="421"/>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6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Supplemental cash flow information related to leases was as follows (in thousands):</w:t>
      </w:r>
    </w:p>
    <w:p>
      <w:pPr>
        <w:pStyle w:val="TextBody"/>
        <w:bidi w:val="0"/>
        <w:spacing w:before="120" w:after="283"/>
        <w:jc w:val="left"/>
        <w:rPr/>
      </w:pPr>
      <w:r>
        <w:rPr/>
        <w:t> </w:t>
      </w:r>
    </w:p>
    <w:tbl>
      <w:tblPr>
        <w:tblW w:w="8651" w:type="dxa"/>
        <w:jc w:val="left"/>
        <w:tblInd w:w="0" w:type="dxa"/>
        <w:tblLayout w:type="fixed"/>
        <w:tblCellMar>
          <w:top w:w="28" w:type="dxa"/>
          <w:left w:w="28" w:type="dxa"/>
          <w:bottom w:w="28" w:type="dxa"/>
          <w:right w:w="28" w:type="dxa"/>
        </w:tblCellMar>
      </w:tblPr>
      <w:tblGrid>
        <w:gridCol w:w="5866"/>
        <w:gridCol w:w="352"/>
        <w:gridCol w:w="702"/>
        <w:gridCol w:w="243"/>
        <w:gridCol w:w="243"/>
        <w:gridCol w:w="352"/>
        <w:gridCol w:w="702"/>
        <w:gridCol w:w="191"/>
      </w:tblGrid>
      <w:tr>
        <w:trPr/>
        <w:tc>
          <w:tcPr>
            <w:tcW w:w="58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schedule by year of future maturities of the Company's operating lease liabilities as of September 30, 2025 (in thousands):</w:t>
      </w:r>
    </w:p>
    <w:p>
      <w:pPr>
        <w:pStyle w:val="TextBody"/>
        <w:bidi w:val="0"/>
        <w:spacing w:before="120" w:after="283"/>
        <w:jc w:val="left"/>
        <w:rPr/>
      </w:pPr>
      <w:r>
        <w:rPr/>
        <w:t> </w:t>
      </w:r>
    </w:p>
    <w:tbl>
      <w:tblPr>
        <w:tblW w:w="3609" w:type="dxa"/>
        <w:jc w:val="left"/>
        <w:tblInd w:w="0" w:type="dxa"/>
        <w:tblLayout w:type="fixed"/>
        <w:tblCellMar>
          <w:top w:w="28" w:type="dxa"/>
          <w:left w:w="28" w:type="dxa"/>
          <w:bottom w:w="28" w:type="dxa"/>
          <w:right w:w="28" w:type="dxa"/>
        </w:tblCellMar>
      </w:tblPr>
      <w:tblGrid>
        <w:gridCol w:w="2416"/>
        <w:gridCol w:w="211"/>
        <w:gridCol w:w="571"/>
        <w:gridCol w:w="411"/>
      </w:tblGrid>
      <w:tr>
        <w:trPr/>
        <w:tc>
          <w:tcPr>
            <w:tcW w:w="2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 of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agreements in the normal course of business, including with contract research organizations for clinical trials, contract manufacturing organizations for certain manufacturing services and supplies, and vendors for preclinical studies as well as other services and products for operating purposes, which are generally cancelable upon written notice. As of September 30, 2025, the Company’s non-cancelable other commitments were $25.2 million in the aggregate.</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 </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Note 7.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17, 2024, the Company entered into a loan and security agreement for up to $200 million with Oxford. The loan is collateralized by substantially all of the Company's assets, including its intellectual property, subject to certain limitations.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Company had $50.0 million outstanding under the Oxford loan agreement. Under the terms of the loan agreement with Oxford, following FDA approval of VYKAT XR, an additional $50 million became available through September 30, 2025, but was not drawn down, and $25 million is available during the period October 1, 2025 to September 30, 2026. An additional tranche of $25 million may become available upon achievement of certain commercial milestones. A final $50 million may be made available upon the mutual consent of the Company and Oxford. The loan carries an interest-only period of 48 months and a total term of 60 months; provided that if specific milestones are achieved prior to September 30, 2026, the interest-only period and maturity date will be extended by 12 months. The term loans accrue interest, payable monthly, at a floating rate equal to, subject to certain conditions, (a) 1-month term SOFR plus (b) 5.50%. The principal portion of the loan is due in eleven equal monthly installments beginning February 1, 2029, through December 1, 2029. However, if a specified milestone is achieved on or after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December 17, 2025, then the term loan will begin to amortize in equal monthly installments beginning on February 1, 2030, and the maturity date will be extended to December 1, 2030. At maturity, the final principal payment will include a fee of 5% of the total principal borrowed. The $2.5 million final interest payment related to the $50 million borrowed as of September 30, 2025 is accrued over the term of loan as long-term accrued interest payable. However, if a specified milestone is achieved on or after December 17, 2025, then the term loan will begin to amortize in equal monthly installments beginning on February 1, 2030, the maturity date will be extended to December 1, 2030, and the final payment will include a fee of 6.5% of the total principal borrowed. As of September 30, 2025, $398 thousand was accrued as part of other long-term liabilities on the condensed consolidated balance sheet. Loan issuance costs of $174 thousand were recorded as a reduction of the principal loan balance on the condensed consolidated balance sheet and are amortized as interest expense over the term of the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outstanding long-term debt consisted of the following (in thousands):</w:t>
      </w:r>
    </w:p>
    <w:p>
      <w:pPr>
        <w:pStyle w:val="TextBody"/>
        <w:bidi w:val="0"/>
        <w:spacing w:before="120" w:after="283"/>
        <w:jc w:val="left"/>
        <w:rPr/>
      </w:pPr>
      <w:r>
        <w:rPr/>
        <w:t> </w:t>
      </w:r>
    </w:p>
    <w:tbl>
      <w:tblPr>
        <w:tblW w:w="5609" w:type="dxa"/>
        <w:jc w:val="left"/>
        <w:tblInd w:w="0" w:type="dxa"/>
        <w:tblLayout w:type="fixed"/>
        <w:tblCellMar>
          <w:top w:w="28" w:type="dxa"/>
          <w:left w:w="28" w:type="dxa"/>
          <w:bottom w:w="28" w:type="dxa"/>
          <w:right w:w="28" w:type="dxa"/>
        </w:tblCellMar>
      </w:tblPr>
      <w:tblGrid>
        <w:gridCol w:w="2761"/>
        <w:gridCol w:w="282"/>
        <w:gridCol w:w="903"/>
        <w:gridCol w:w="166"/>
        <w:gridCol w:w="146"/>
        <w:gridCol w:w="271"/>
        <w:gridCol w:w="869"/>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net</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the components of interest expense related to the long-term debt (in thousands):</w:t>
      </w:r>
    </w:p>
    <w:p>
      <w:pPr>
        <w:pStyle w:val="TextBody"/>
        <w:bidi w:val="0"/>
        <w:spacing w:before="120" w:after="283"/>
        <w:jc w:val="left"/>
        <w:rPr/>
      </w:pPr>
      <w:r>
        <w:rPr/>
        <w:t> </w:t>
      </w:r>
    </w:p>
    <w:tbl>
      <w:tblPr>
        <w:tblW w:w="9799" w:type="dxa"/>
        <w:jc w:val="left"/>
        <w:tblInd w:w="0" w:type="dxa"/>
        <w:tblLayout w:type="fixed"/>
        <w:tblCellMar>
          <w:top w:w="28" w:type="dxa"/>
          <w:left w:w="28" w:type="dxa"/>
          <w:bottom w:w="28" w:type="dxa"/>
          <w:right w:w="28" w:type="dxa"/>
        </w:tblCellMar>
      </w:tblPr>
      <w:tblGrid>
        <w:gridCol w:w="6166"/>
        <w:gridCol w:w="433"/>
        <w:gridCol w:w="1172"/>
        <w:gridCol w:w="146"/>
        <w:gridCol w:w="146"/>
        <w:gridCol w:w="417"/>
        <w:gridCol w:w="1128"/>
        <w:gridCol w:w="191"/>
      </w:tblGrid>
      <w:tr>
        <w:trPr/>
        <w:tc>
          <w:tcPr>
            <w:tcW w:w="616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based on contractual loan rate</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 and accretion of final interest payment</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and security agreement provides for both affirmative and negative covenants, including covenants limiting the ability of the Company and their subsidiaries to, among other things, dispose of assets, incur debt, grant liens, pay dividends and distributions on their capital stock, make investments and acquisitions, and enter into transactions with affiliates, in each case subject to customary exceptions for a loan facility of this size and type. In addition, the loan and security agreement contains a minimum revenue covenant commencing on the earlier of the date that more than $50 million principal amount of term loans have been funded under the loan and security agreement and June 30, 2026; provided that such minimum revenue covenant shall not be tested during periods when the Company’s market capitalization or unrestricted cash meet certain minimum thresholds. The occurrence of an event of default could result in the acceleration of the Company’s obligations under the loan and security agreement, the termination of the lenders’ commitments, a 5.0% increase in the applicable rate of interest and the exercise by the lender of other rights and remedies provided for under the loan and security agreement. The Company was in compliance with all applicable debt covenants as of September 30, 2025.</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July 2025 Public Offering of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July 2025, the Company closed an underwritten public offering of 2,705,882 shares of its common stock at a public offering price of $85.00 per share, which included the exercise in full by the underwriters of their option to purchase additional shares. The gross proceeds of the public offering were $230.0 million, before deducting the underwriter discount and other offering expenses, totaling approximately $14.3 million.</w:t>
      </w:r>
    </w:p>
    <w:p>
      <w:pPr>
        <w:pStyle w:val="TextBody"/>
        <w:bidi w:val="0"/>
        <w:jc w:val="left"/>
        <w:rPr>
          <w:rFonts w:ascii="Times New Roman" w:hAnsi="Times New Roman"/>
          <w:b/>
          <w:i/>
          <w:color w:val="000000"/>
          <w:sz w:val="20"/>
        </w:rPr>
      </w:pPr>
      <w:r>
        <w:rPr>
          <w:rFonts w:ascii="Times New Roman" w:hAnsi="Times New Roman"/>
          <w:b/>
          <w:i/>
          <w:color w:val="000000"/>
          <w:sz w:val="20"/>
        </w:rPr>
        <w:t>May 2024 Public Offering of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pStyle w:val="TextBody"/>
        <w:bidi w:val="0"/>
        <w:jc w:val="left"/>
        <w:rPr>
          <w:rFonts w:ascii="Times New Roman" w:hAnsi="Times New Roman"/>
          <w:b/>
          <w:i/>
          <w:color w:val="000000"/>
          <w:sz w:val="20"/>
        </w:rPr>
      </w:pPr>
      <w:r>
        <w:rPr>
          <w:rFonts w:ascii="Times New Roman" w:hAnsi="Times New Roman"/>
          <w:b/>
          <w:i/>
          <w:color w:val="000000"/>
          <w:sz w:val="20"/>
        </w:rPr>
        <w:t>October 2023 Public Offering of Common Stock and Concurrent Private Placement of Common Stock and Pre-Funded Warrants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approximately $60.0 million for 1,825,000 shares of its common stock and 1,175,000 pre-funded warrants in a private offering pursuant to a securities purchase agreement with certain investors, including entities affiliated with existing stockholders, at a price per share of common stock equal to the public offering price of $20.00 and a price per pre-funded warrant of $19.99.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December 2022 Securities Purchase Agreement</w:t>
      </w:r>
    </w:p>
    <w:p>
      <w:pPr>
        <w:pStyle w:val="TextBody"/>
        <w:bidi w:val="0"/>
        <w:jc w:val="left"/>
        <w:rPr>
          <w:rFonts w:ascii="Times New Roman" w:hAnsi="Times New Roman"/>
          <w:color w:val="000000"/>
          <w:sz w:val="20"/>
        </w:rPr>
      </w:pPr>
      <w:r>
        <w:rPr>
          <w:rFonts w:ascii="Times New Roman" w:hAnsi="Times New Roman"/>
          <w:color w:val="000000"/>
          <w:sz w:val="20"/>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warrants were separated into two tranches with 8,598,870 Tranche A Warrants with an exercise price of $1.75 per share and aggregate proceeds of up to approximately $15.0 million, and 14,000,000 Tranche B Warrants with an exercise price of $2.50 per share and aggregate proceeds of up to $35.0 million. The Tranche A warrants were immediately exercisable and were required to be exercised within 30 days of announcement of positive top-line data from the randomized withdrawal period of Study C602. On September 26, 2023, the Company announced positive top-line data and subsequently received $15.0 million from the exercise of the Tranche A warrants. The Tranche B warrants were also immediately exercisable and, following the FDA's approval of VYKAT XR, the remainder of these warrants were exercised. The Company received an aggregate of $35.0 million from the exercise of the Tranche B warrants. As of September 30, 2025, there were no remaining warrants outstanding under the Securities Purchase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March 2022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31, 2022, the Company sold 2,666,667 shares of its common stock at a public offering price of $3.75 per share, and for certain investors, in lieu of common stock, pre-funded warrants (the 2022 pre-funded warrants) to purchase 1,333,333 shares of its common stock at a public offering price $3.60 per pre-funded warrant, which represents the per share public offering price for the common stock less the $0.15 per share exercise price for each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September 30, 2025, 2,150,406 of the March 2022 common warrants had been exercised for gross proceeds of $9.7 million and 1,847,995 warrants were exercised using the cashless exercise option with no proceeds to the Company. As of September 30, 2025, 1,599 of the March 2022 common warrants remained outstanding. </w:t>
      </w:r>
    </w:p>
    <w:p>
      <w:pPr>
        <w:pStyle w:val="TextBody"/>
        <w:bidi w:val="0"/>
        <w:spacing w:before="240" w:after="283"/>
        <w:jc w:val="left"/>
        <w:rPr>
          <w:rFonts w:ascii="Times New Roman" w:hAnsi="Times New Roman"/>
          <w:sz w:val="20"/>
        </w:rPr>
      </w:pPr>
      <w:r>
        <w:rPr>
          <w:rFonts w:ascii="Times New Roman" w:hAnsi="Times New Roman"/>
          <w:b/>
          <w:i/>
          <w:color w:val="000000"/>
          <w:sz w:val="20"/>
        </w:rPr>
        <w:t>At the Market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Company entered into the Sales Agreement with Jefferies, pursuant to which the Company may offer and sell up to $150.0 million of shares of its common stock, from time to time, through Jefferies.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will pay Jefferies a commission of 3.0% of the aggregate gross proceeds from the sale of shares and has agreed to provide Jefferies with customary indemnification and contribution rights. The Company has also agreed to reimburse Jefferies for certain specified expenses. The Company is not obligated to sell any shares under the Sales Agreement. The offering of the shares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Sales Agreement will terminate upon the termination of the Sales Agreement by Jefferies or the Company, as permitted therein. </w:t>
      </w:r>
    </w:p>
    <w:p>
      <w:pPr>
        <w:pStyle w:val="TextBody"/>
        <w:bidi w:val="0"/>
        <w:spacing w:before="240" w:after="283"/>
        <w:jc w:val="left"/>
        <w:rPr>
          <w:rFonts w:ascii="Times New Roman" w:hAnsi="Times New Roman"/>
          <w:sz w:val="20"/>
        </w:rPr>
      </w:pPr>
      <w:r>
        <w:rPr>
          <w:rFonts w:ascii="Times New Roman" w:hAnsi="Times New Roman"/>
          <w:b/>
          <w:i/>
          <w:color w:val="000000"/>
          <w:sz w:val="20"/>
        </w:rPr>
        <w:t>Common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following table summarizes the Company's outstanding common stock warrants: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7"/>
        <w:gridCol w:w="146"/>
        <w:gridCol w:w="205"/>
        <w:gridCol w:w="1102"/>
        <w:gridCol w:w="147"/>
        <w:gridCol w:w="147"/>
        <w:gridCol w:w="572"/>
        <w:gridCol w:w="1266"/>
        <w:gridCol w:w="146"/>
        <w:gridCol w:w="146"/>
        <w:gridCol w:w="193"/>
        <w:gridCol w:w="1234"/>
        <w:gridCol w:w="146"/>
        <w:gridCol w:w="146"/>
        <w:gridCol w:w="572"/>
        <w:gridCol w:w="1266"/>
        <w:gridCol w:w="146"/>
        <w:gridCol w:w="146"/>
        <w:gridCol w:w="1092"/>
      </w:tblGrid>
      <w:tr>
        <w:trPr/>
        <w:tc>
          <w:tcPr>
            <w:tcW w:w="1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 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2027</w:t>
            </w:r>
          </w:p>
        </w:tc>
      </w:tr>
      <w:tr>
        <w:trPr/>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2026</w:t>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251,599</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2014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the Amended and Restated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2024, the Company filed a Registration Statement on Form S-8 which registered an additional 1.0 million shares which automatically became available for issuance under the 2014 Plan as of January 1, 2024. On June 6, 2024, the Company's stockholders approved the Amended and Restated 2014 Plan which included an increase of 2.0 million shares, which became immediately available for issuance. On February 28, 2025, the Company filed a Registration Statement on Form S-8 which registered an additional 1.8 million shares which automatically became available for issuance under the 2014 Plan as of January 1, 2025. As of September 30, 2025, a total of 957,659 shares were available for future grant under the 2014 Plan.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January 31, 2024, the Company filed a Registration Statement on Form S-8 which registered 500,000 shares available for issuance under the Inducement Plan, which became available for issuance following approval of the Board of Directors on January 24,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 total of 23,068 shares were available for future grant under the Inducement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condensed consolidated statements of operations and comprehensive income (loss) for stock-based compensation arrangements during any of the periods presented.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was recognized in the condensed consolidated statements of operations and comprehensive income (loss) as follows (in thousands): </w:t>
      </w:r>
    </w:p>
    <w:tbl>
      <w:tblPr>
        <w:tblW w:w="8916" w:type="dxa"/>
        <w:jc w:val="left"/>
        <w:tblInd w:w="0" w:type="dxa"/>
        <w:tblLayout w:type="fixed"/>
        <w:tblCellMar>
          <w:top w:w="28" w:type="dxa"/>
          <w:left w:w="28" w:type="dxa"/>
          <w:bottom w:w="28" w:type="dxa"/>
          <w:right w:w="28" w:type="dxa"/>
        </w:tblCellMar>
      </w:tblPr>
      <w:tblGrid>
        <w:gridCol w:w="2956"/>
        <w:gridCol w:w="289"/>
        <w:gridCol w:w="782"/>
        <w:gridCol w:w="199"/>
        <w:gridCol w:w="199"/>
        <w:gridCol w:w="289"/>
        <w:gridCol w:w="925"/>
        <w:gridCol w:w="146"/>
        <w:gridCol w:w="146"/>
        <w:gridCol w:w="265"/>
        <w:gridCol w:w="849"/>
        <w:gridCol w:w="183"/>
        <w:gridCol w:w="183"/>
        <w:gridCol w:w="265"/>
        <w:gridCol w:w="849"/>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9,998</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FDA approval of VYKAT XR in March 2025, the Company began capitalizing stock-based compensation associated with the allocation of labor costs related to work performed to manufacture VYKAT XR. For the three and nine months ended September 30, 2025, the Company capitalized into inventory $0.4 million and $0.7 million,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options to purchase 143,344 and 288,850 shares of the Company’s common stock to employees during the three months ended September 30, 2025 and 2024, respectively. During the nine months ended September 30, 2025, the Company granted options to purchase 836,347 shares of the Company’s stock to employees and a consultant. During the nine months ended September 30, 2024, the Company granted options to purchase 1,369,230 of the Company's stock to employees and a consultant. There were no performance-based options granted during the three and nine months ended September 30, 2025 and 2024, respectively. The fair value of each award granted was estimated on the date of grant using the Black-Scholes option pricing model with the following assumptions:</w:t>
      </w:r>
    </w:p>
    <w:p>
      <w:pPr>
        <w:pStyle w:val="TextBody"/>
        <w:bidi w:val="0"/>
        <w:jc w:val="left"/>
        <w:rPr/>
      </w:pPr>
      <w:r>
        <w:rPr/>
        <w:t> </w:t>
      </w:r>
    </w:p>
    <w:tbl>
      <w:tblPr>
        <w:tblW w:w="7316" w:type="dxa"/>
        <w:jc w:val="left"/>
        <w:tblInd w:w="0" w:type="dxa"/>
        <w:tblLayout w:type="fixed"/>
        <w:tblCellMar>
          <w:top w:w="28" w:type="dxa"/>
          <w:left w:w="28" w:type="dxa"/>
          <w:bottom w:w="28" w:type="dxa"/>
          <w:right w:w="28" w:type="dxa"/>
        </w:tblCellMar>
      </w:tblPr>
      <w:tblGrid>
        <w:gridCol w:w="1846"/>
        <w:gridCol w:w="1252"/>
        <w:gridCol w:w="181"/>
        <w:gridCol w:w="1252"/>
        <w:gridCol w:w="146"/>
        <w:gridCol w:w="1217"/>
        <w:gridCol w:w="157"/>
        <w:gridCol w:w="1265"/>
      </w:tblGrid>
      <w:tr>
        <w:trPr/>
        <w:tc>
          <w:tcPr>
            <w:tcW w:w="184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5.9-6.1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5.8-6.1</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3.7%-4.6%</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116%-120%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121%-124%</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Black-Scholes option-pricing model requires the use of highly subjective assumptions to estimate the fair value of stock-based awards. These assumptions include the following estimates: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life:</w:t>
      </w:r>
      <w:r>
        <w:rPr>
          <w:color w:val="000000"/>
        </w:rPr>
        <w:t xml:space="preserve"> </w:t>
      </w:r>
      <w:r>
        <w:rPr>
          <w:rFonts w:ascii="Times New Roman" w:hAnsi="Times New Roman"/>
          <w:color w:val="000000"/>
          <w:sz w:val="20"/>
        </w:rPr>
        <w:t>The expected life of stock options represents the period of time that the options are 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interest rate:</w:t>
      </w:r>
      <w:r>
        <w:rPr>
          <w:color w:val="000000"/>
        </w:rPr>
        <w:t xml:space="preserve"> </w:t>
      </w:r>
      <w:r>
        <w:rPr>
          <w:rFonts w:ascii="Times New Roman" w:hAnsi="Times New Roman"/>
          <w:color w:val="000000"/>
          <w:sz w:val="20"/>
        </w:rPr>
        <w:t>The risk-free interest rate is based on the yields of U.S. Treasury securities with maturities similar to the expected life of the stock options.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Volatility:</w:t>
      </w:r>
      <w:r>
        <w:rPr>
          <w:color w:val="000000"/>
        </w:rPr>
        <w:t xml:space="preserve"> </w:t>
      </w:r>
      <w:r>
        <w:rPr>
          <w:rFonts w:ascii="Times New Roman" w:hAnsi="Times New Roman"/>
          <w:color w:val="000000"/>
          <w:sz w:val="20"/>
        </w:rPr>
        <w:t>The estimated volatility rate is based on the volatilities of the Company’s common stock for a historical period equal to the expected life of the stock options.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Dividend rate:</w:t>
      </w:r>
      <w:r>
        <w:rPr>
          <w:color w:val="000000"/>
        </w:rPr>
        <w:t xml:space="preserve"> </w:t>
      </w:r>
      <w:r>
        <w:rPr>
          <w:rFonts w:ascii="Times New Roman" w:hAnsi="Times New Roman"/>
          <w:color w:val="000000"/>
          <w:sz w:val="20"/>
        </w:rPr>
        <w:t xml:space="preserve">The Company has never declared or paid any cash dividends and does not presently plan to pay cash dividends in the foreseeable future. Consequently, the Company used an expected dividend yield of zero.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transactions for the nine months ended September 30, 2025 which were for awards issued under the 2014 Plan and the Inducement Plan: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4"/>
        <w:gridCol w:w="146"/>
        <w:gridCol w:w="146"/>
        <w:gridCol w:w="991"/>
        <w:gridCol w:w="166"/>
        <w:gridCol w:w="146"/>
        <w:gridCol w:w="230"/>
        <w:gridCol w:w="626"/>
        <w:gridCol w:w="146"/>
        <w:gridCol w:w="146"/>
        <w:gridCol w:w="236"/>
        <w:gridCol w:w="755"/>
        <w:gridCol w:w="146"/>
        <w:gridCol w:w="146"/>
        <w:gridCol w:w="372"/>
        <w:gridCol w:w="1380"/>
        <w:gridCol w:w="393"/>
      </w:tblGrid>
      <w:tr>
        <w:trPr/>
        <w:tc>
          <w:tcPr>
            <w:tcW w:w="4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79,578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was $48.24 and $37.84 per share for the nine months ended September 30, 2025 and 2024, respectively. The intrinsic value of the stock options exercised was $58.6 million and $6.6 million for the nine months ended September 30, 2025 and 2024, respectively. At September 30, 2025, total unrecognized employee stock-based compensation related to stock options that are likely to vest was $77.4 million, which is expected to be recognized over the weighted-average remaining vesting period of 2.6 years. </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16,000 restricted stock units granted to employees by the Company during the three months ended September 30, 2025. During the three months ended September 30, 2024, there were 1,239,375 performance-based restricted stock units and 366,625 restricted stock units granted to employees and a director by the Company. There were 369,581 restricted stock units granted to employees and directors by the Company during the nine months ended September 30, 2025. During the nine months ended September 30, 2024 there were 1,249,375 performance-based restricted stock units and 758,155 restricted stock units granted to employees and directors by the Company. During the nine months ended September 30, 2024, the Company granted 10,000 performance-based restricted stock units to a consultant. The shares were valued based on the Company’s common stock price on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restricted stock unit transactions for the nine months ended September 30, 2025 under the 2014 Plan: </w:t>
      </w:r>
    </w:p>
    <w:p>
      <w:pPr>
        <w:pStyle w:val="TextBody"/>
        <w:bidi w:val="0"/>
        <w:spacing w:before="120" w:after="283"/>
        <w:jc w:val="left"/>
        <w:rPr/>
      </w:pPr>
      <w:r>
        <w:rPr/>
        <w:t> </w:t>
      </w:r>
    </w:p>
    <w:tbl>
      <w:tblPr>
        <w:tblW w:w="8685" w:type="dxa"/>
        <w:jc w:val="left"/>
        <w:tblInd w:w="0" w:type="dxa"/>
        <w:tblLayout w:type="fixed"/>
        <w:tblCellMar>
          <w:top w:w="28" w:type="dxa"/>
          <w:left w:w="28" w:type="dxa"/>
          <w:bottom w:w="28" w:type="dxa"/>
          <w:right w:w="28" w:type="dxa"/>
        </w:tblCellMar>
      </w:tblPr>
      <w:tblGrid>
        <w:gridCol w:w="3591"/>
        <w:gridCol w:w="146"/>
        <w:gridCol w:w="253"/>
        <w:gridCol w:w="1457"/>
        <w:gridCol w:w="166"/>
        <w:gridCol w:w="146"/>
        <w:gridCol w:w="683"/>
        <w:gridCol w:w="1852"/>
        <w:gridCol w:w="3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weighted-average grant-date fair value of all restricted stock units granted during the nine months ended September 30, 2025 and 2024 was $58.40 and $46.47, respectively. The fair value of all restricted stock units vested during the nine months ended September 30, 2025 and 2024 was $41.0 million and $44.7 million, respectively. At September 30, 2025, total unrecognized employee stock-based compensation related to restricted stock units was $16.6 million, which is expected to be recognized over the weighted-average remaining vesting period of 2.3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directors have elected to delay the issuance of certain vested restricted stock units granted under the 2014 Plan. Certain of these RSUs have vested as of September 30, 2025 based on the applicable service periods, but the issuance of common stock has been deferred until a future date when the directors' service to the Company terminates, or there is a change in control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The grant-date fair value of these 13,000 shares is $0.6 million, which has been recognized as stock-based compensation expense over the requisite service period in the condensed consolidated statements of operations and comprehensive income (loss).</w:t>
      </w:r>
    </w:p>
    <w:p>
      <w:pPr>
        <w:pStyle w:val="TextBody"/>
        <w:bidi w:val="0"/>
        <w:spacing w:before="240" w:after="283"/>
        <w:jc w:val="left"/>
        <w:rPr>
          <w:rFonts w:ascii="Times New Roman" w:hAnsi="Times New Roman"/>
          <w:sz w:val="20"/>
        </w:rPr>
      </w:pPr>
      <w:r>
        <w:rPr>
          <w:rFonts w:ascii="Times New Roman" w:hAnsi="Times New Roman"/>
          <w:b/>
          <w:i/>
          <w:color w:val="000000"/>
          <w:sz w:val="20"/>
        </w:rPr>
        <w:t>2014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 of the outstanding shares of the Company’s common stock on the first day of such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3,729 shares;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amount as determined by the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there were no purchases by employees under this plan.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9. Net income or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income (loss) per share is computed by dividing net income (loss) by the weighted-average number of common stock outstanding during the period. Shares of common stock that are potentially issuable for little or no cash consideration at issuance, such as the Company's pre-funded warrants issued in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hAnsi="Times New Roman"/>
          <w:i/>
          <w:color w:val="000000"/>
          <w:sz w:val="20"/>
        </w:rPr>
        <w:t>ASC 260 Earnings Per Shares</w:t>
      </w:r>
      <w:r>
        <w:rPr>
          <w:rFonts w:ascii="Times New Roman" w:hAnsi="Times New Roman"/>
          <w:color w:val="000000"/>
          <w:sz w:val="20"/>
        </w:rPr>
        <w:t xml:space="preserve">. Diluted net income (loss) per share is computed by dividing net income (loss) by the weighted-average number of common stock outstanding and dilutive potential common stock that would be issued upon the exercise or vesting of common stock awards and exercise of common stock warrants that are not pre-funded using the treasury stock method which would result in the issuance of incremental shares of common stock. The Company applies the two-class method to calculate basic and diluted earnings per share as its warrants issued in March 2022, May 2023 and October 2023 are participating securities. However, the two-class method does not impact the net loss per share of common stock as the March 2022, May 2023 and October 2023 common warrants issued do not participate in losses. For the nine months ended September 30, 2025 and 2024 and three months ended September 30, 2024, the effect of issuing potential common stock is anti-dilutive due to the net losses in those periods and therefore the number of shares used to compute basic and diluted net loss per share are the same in each of those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securities are the weighted-average common shares outstanding used to calculate basic and diluted net income (loss) per common share:</w:t>
      </w:r>
    </w:p>
    <w:p>
      <w:pPr>
        <w:pStyle w:val="TextBody"/>
        <w:bidi w:val="0"/>
        <w:jc w:val="left"/>
        <w:rPr/>
      </w:pPr>
      <w:r>
        <w:rPr/>
        <w:t> </w:t>
      </w:r>
    </w:p>
    <w:tbl>
      <w:tblPr>
        <w:tblW w:w="9757" w:type="dxa"/>
        <w:jc w:val="left"/>
        <w:tblInd w:w="0" w:type="dxa"/>
        <w:tblLayout w:type="fixed"/>
        <w:tblCellMar>
          <w:top w:w="28" w:type="dxa"/>
          <w:left w:w="28" w:type="dxa"/>
          <w:bottom w:w="28" w:type="dxa"/>
          <w:right w:w="28" w:type="dxa"/>
        </w:tblCellMar>
      </w:tblPr>
      <w:tblGrid>
        <w:gridCol w:w="3496"/>
        <w:gridCol w:w="146"/>
        <w:gridCol w:w="211"/>
        <w:gridCol w:w="1036"/>
        <w:gridCol w:w="146"/>
        <w:gridCol w:w="146"/>
        <w:gridCol w:w="211"/>
        <w:gridCol w:w="1036"/>
        <w:gridCol w:w="166"/>
        <w:gridCol w:w="146"/>
        <w:gridCol w:w="211"/>
        <w:gridCol w:w="1036"/>
        <w:gridCol w:w="166"/>
        <w:gridCol w:w="146"/>
        <w:gridCol w:w="211"/>
        <w:gridCol w:w="1036"/>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53,078,094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39,360,966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49,772,910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35,824,742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A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2,154,299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53,328,094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41,879,025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50,022,910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38,917,169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2022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54,921,916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41,879,025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50,022,910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38,917,169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potentially dilutive securities outstanding have been excluded from the computation of diluted net income (loss) per share because their effect would have been anti-dilutive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4"/>
        <w:gridCol w:w="346"/>
        <w:gridCol w:w="149"/>
        <w:gridCol w:w="956"/>
        <w:gridCol w:w="149"/>
        <w:gridCol w:w="149"/>
        <w:gridCol w:w="149"/>
        <w:gridCol w:w="1064"/>
        <w:gridCol w:w="146"/>
        <w:gridCol w:w="146"/>
        <w:gridCol w:w="146"/>
        <w:gridCol w:w="931"/>
        <w:gridCol w:w="146"/>
        <w:gridCol w:w="146"/>
        <w:gridCol w:w="146"/>
        <w:gridCol w:w="1036"/>
        <w:gridCol w:w="396"/>
      </w:tblGrid>
      <w:tr>
        <w:trPr/>
        <w:tc>
          <w:tcPr>
            <w:tcW w:w="40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2010/2012 convertible note</w:t>
              <w:br/>
              <w:t>   holders to purchase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underwriter to purchase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common warrants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1,273,077</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warrants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4,935,305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1,474,452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3,523,251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1,072,530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1,488,017</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10,812,067</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10.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operating and reporting segment focused on the development and commercialization of its lead therapeutic product, VYKAT XR. The Company’s chief operating decision maker (CODM) is the chief executive officer who reviews product revenue, net, and cash operating expenses on a consolidated basis to make decisions about allocating resources and assessing performance for the entire Company. The CODM does not review assets at a level or category different than the amounts disclosed in the condensed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segment for the three and nine months ended September 30, 2025 and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1"/>
        <w:gridCol w:w="146"/>
        <w:gridCol w:w="263"/>
        <w:gridCol w:w="845"/>
        <w:gridCol w:w="206"/>
        <w:gridCol w:w="181"/>
        <w:gridCol w:w="263"/>
        <w:gridCol w:w="920"/>
        <w:gridCol w:w="166"/>
        <w:gridCol w:w="146"/>
        <w:gridCol w:w="231"/>
        <w:gridCol w:w="859"/>
        <w:gridCol w:w="181"/>
        <w:gridCol w:w="159"/>
        <w:gridCol w:w="231"/>
        <w:gridCol w:w="925"/>
        <w:gridCol w:w="322"/>
      </w:tblGrid>
      <w:tr>
        <w:trPr/>
        <w:tc>
          <w:tcPr>
            <w:tcW w:w="4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66,018</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(119,868</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43,913</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128,555</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non-cash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(9,998</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(70,203</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32,679</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53,703</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evaluated its subsequent events from September 30, 2025 through the date these condensed consolidated financial statements were issued and has determined that there are no subsequent events disclosure required.</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212529"/>
          <w:sz w:val="20"/>
        </w:rPr>
        <w:br/>
        <w:t> </w:t>
      </w:r>
    </w:p>
    <w:p>
      <w:pPr>
        <w:pStyle w:val="TextBody"/>
        <w:bidi w:val="0"/>
        <w:jc w:val="both"/>
        <w:rPr>
          <w:rFonts w:ascii="Times New Roman" w:hAnsi="Times New Roman"/>
          <w:i/>
          <w:color w:val="000000"/>
          <w:sz w:val="20"/>
        </w:rPr>
      </w:pPr>
      <w:r>
        <w:rPr>
          <w:rFonts w:ascii="Times New Roman" w:hAnsi="Times New Roman"/>
          <w:i/>
          <w:color w:val="000000"/>
          <w:sz w:val="20"/>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any projections of financial information; any statements about our continued commercialization of VYKAT XR, any statements about historical results that may suggest trends for our business; any statements of the plans, strategies, and objectives of management for future operations; any statements of expectation or belief regarding future events, our products, product sales, expenses, liquidity, cash flow, market growth rates or enforceability of our intellectual property rights and related litigation expenses; and any statements of assumptions underlying any of the foregoing. We have based these forward-looking statements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known and unknown risks, uncertainties, and other factors described in the section titled “Risk Factors” and elsewhere in this Quarterly Report on Form 10-Q.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 All forward-looking statements are based on information and estimates available to us at the time of filing this Quarterly Report on Form 10-Q and are not guarantees of future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before="120" w:after="283"/>
        <w:jc w:val="left"/>
        <w:rPr>
          <w:rFonts w:ascii="Times New Roman" w:hAnsi="Times New Roman"/>
          <w:sz w:val="20"/>
        </w:rPr>
      </w:pPr>
      <w:r>
        <w:rPr>
          <w:rFonts w:ascii="Times New Roman" w:hAnsi="Times New Roman"/>
          <w:i/>
          <w:color w:val="000000"/>
          <w:sz w:val="20"/>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2024, and the related Management’s Discussion and Analysis of Financial Condition and Results of Operations, contained in our Annual Report on Form 10-K for the year ended December 31, 2024.</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developing novel therapeutics for the treatment of rare diseases. On March 26, 2025, we announced that our lead product candidate, VYKAT XR (diazoxide choline) extended-release tablets, formerly known as DCCR, had been approved by the U.S. Food and Drug Administration (FDA). VYKAT XR is indicated to treat hyperphagia in adults and pediatric patients four years of age and older with Prader-Willi syndrome (PWS).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began commercial marketing and sales and recognizing revenue during the three months ended June 30, 2025. The transaction price that we recognize as revenue for VYKAT XR sales includes an estimate of variable consideration, which includes rebates, discounts, returns, and copay assistance that are offered within our contract with our specialty pharmacy. Refer to Note 3 of the notes to the unaudited condensed consolidated financial statements included in this Quarterly Report on Form 10-Q for additional information.</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are based upon our unaudited condensed consolidated financial statements, which have been prepared in accordance with GAAP.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After FDA approval of VYKAT XR in March 2025, we began commercial marketing and made our first product sales in the three months ended June 30, 2025. ASC Topic 606, </w:t>
      </w:r>
      <w:r>
        <w:rPr>
          <w:rFonts w:ascii="Times New Roman" w:hAnsi="Times New Roman"/>
          <w:i/>
          <w:color w:val="000000"/>
          <w:sz w:val="20"/>
        </w:rPr>
        <w:t>Revenue from Contracts with Customers</w:t>
      </w:r>
      <w:r>
        <w:rPr>
          <w:rFonts w:ascii="Times New Roman" w:hAnsi="Times New Roman"/>
          <w:color w:val="000000"/>
          <w:sz w:val="20"/>
        </w:rPr>
        <w:t xml:space="preserve">, requires us to make estimates of variable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consideration included in contracts with customers, to be included in the transaction price. The transaction price that is recognized as revenue for products upon delivery and transfer of title to the customer includes an estimate of variable consideration for reserves which result from rebates, discounts, returns, and co-pay assistance that are offered within contracts between us and our customer.</w:t>
      </w:r>
    </w:p>
    <w:p>
      <w:pPr>
        <w:pStyle w:val="TextBody"/>
        <w:bidi w:val="0"/>
        <w:spacing w:before="120" w:after="240"/>
        <w:jc w:val="left"/>
        <w:rPr>
          <w:rFonts w:ascii="Times New Roman" w:hAnsi="Times New Roman"/>
          <w:sz w:val="20"/>
        </w:rPr>
      </w:pPr>
      <w:r>
        <w:rPr>
          <w:rFonts w:ascii="Times New Roman" w:hAnsi="Times New Roman"/>
          <w:i/>
          <w:color w:val="000000"/>
          <w:sz w:val="20"/>
        </w:rPr>
        <w:t>Government rebates:</w:t>
      </w:r>
      <w:r>
        <w:rPr>
          <w:rFonts w:ascii="Times New Roman" w:hAnsi="Times New Roman"/>
          <w:color w:val="000000"/>
          <w:sz w:val="20"/>
        </w:rPr>
        <w:t xml:space="preserve"> We are subject to discount obligations under several government programs, including Medicaid programs, Medicare and TRICARE in the United States. We estimate these rebates based upon a range of possible outcomes that are weighted for the estimated payer mix. These reserves are recorded in the same period that the related revenue is recognized, resulting in a reduction of product revenue and the establishment of a liability that is included in accrued expenses and other current liabilities on our condensed consolidated balance sheets. On a quarterly basis, we update our estimates and record any adjustments in the period that we identify the adjustments.</w:t>
      </w:r>
    </w:p>
    <w:p>
      <w:pPr>
        <w:pStyle w:val="TextBody"/>
        <w:bidi w:val="0"/>
        <w:spacing w:before="0" w:after="240"/>
        <w:jc w:val="left"/>
        <w:rPr>
          <w:rFonts w:ascii="Times New Roman" w:hAnsi="Times New Roman"/>
          <w:sz w:val="20"/>
        </w:rPr>
      </w:pPr>
      <w:r>
        <w:rPr>
          <w:rFonts w:ascii="Times New Roman" w:hAnsi="Times New Roman"/>
          <w:i/>
          <w:color w:val="000000"/>
          <w:sz w:val="20"/>
        </w:rPr>
        <w:t>Trade discounts and allowances:</w:t>
      </w:r>
      <w:r>
        <w:rPr>
          <w:rFonts w:ascii="Times New Roman" w:hAnsi="Times New Roman"/>
          <w:color w:val="000000"/>
          <w:sz w:val="20"/>
        </w:rPr>
        <w:t xml:space="preserve"> We provide discounts on VYKAT XR sales to our customer for prompt payment. This discount is recorded as a reduction of revenue in the period the related product revenue is recognized. In addition, we receive and pay for various distribution services from our customer in the distribution channel.</w:t>
      </w:r>
    </w:p>
    <w:p>
      <w:pPr>
        <w:pStyle w:val="TextBody"/>
        <w:bidi w:val="0"/>
        <w:spacing w:before="0" w:after="240"/>
        <w:jc w:val="left"/>
        <w:rPr>
          <w:rFonts w:ascii="Times New Roman" w:hAnsi="Times New Roman"/>
          <w:sz w:val="20"/>
        </w:rPr>
      </w:pPr>
      <w:r>
        <w:rPr>
          <w:rFonts w:ascii="Times New Roman" w:hAnsi="Times New Roman"/>
          <w:i/>
          <w:color w:val="000000"/>
          <w:sz w:val="20"/>
        </w:rPr>
        <w:t>Product returns:</w:t>
      </w:r>
      <w:r>
        <w:rPr>
          <w:rFonts w:ascii="Times New Roman" w:hAnsi="Times New Roman"/>
          <w:color w:val="000000"/>
          <w:sz w:val="20"/>
        </w:rPr>
        <w:t xml:space="preserve"> Our customer has limited return rights related to unexpected instances in which the product is found to be damaged or defective. We estimate the amount of product sales that may be returned and records the estimate as a reduction of revenue and a refund liability in the period in which the related product revenue is recognized. Based on the distribution model for VYKAT XR, we believe there will be minimal returns as such returns have not been material to date.</w:t>
      </w:r>
    </w:p>
    <w:p>
      <w:pPr>
        <w:pStyle w:val="TextBody"/>
        <w:bidi w:val="0"/>
        <w:spacing w:before="0" w:after="240"/>
        <w:jc w:val="left"/>
        <w:rPr>
          <w:rFonts w:ascii="Times New Roman" w:hAnsi="Times New Roman"/>
          <w:sz w:val="20"/>
        </w:rPr>
      </w:pPr>
      <w:r>
        <w:rPr>
          <w:rFonts w:ascii="Times New Roman" w:hAnsi="Times New Roman"/>
          <w:i/>
          <w:color w:val="000000"/>
          <w:sz w:val="20"/>
        </w:rPr>
        <w:t>Other incentives:</w:t>
      </w:r>
      <w:r>
        <w:rPr>
          <w:rFonts w:ascii="Times New Roman" w:hAnsi="Times New Roman"/>
          <w:color w:val="000000"/>
          <w:sz w:val="20"/>
        </w:rPr>
        <w:t xml:space="preserve"> Other incentives include co-payment assistance we provide to patients with commercial insurance that have coverage and reside in 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pStyle w:val="TextBody"/>
        <w:bidi w:val="0"/>
        <w:jc w:val="left"/>
        <w:rPr>
          <w:rFonts w:ascii="Times New Roman" w:hAnsi="Times New Roman"/>
          <w:color w:val="000000"/>
          <w:sz w:val="20"/>
        </w:rPr>
      </w:pPr>
      <w:r>
        <w:rPr>
          <w:rFonts w:ascii="Times New Roman" w:hAnsi="Times New Roman"/>
          <w:color w:val="000000"/>
          <w:sz w:val="20"/>
        </w:rPr>
        <w:t>Variable consideration is estimated and reduces the transaction price to reflect our best estimate of the amount of consideration to which we are entitled based on the terms of the contracts and are recorded in the same period the related product revenues is recognized.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in the period these variances become 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Aside from revenue recognition as noted above, there have been no significant changes during the three and nine months ended September 30, 2025 compared to those previously disclosed in “Critical Accounting Policies and Estimates” in “Management’s Discussion and Analysis of Financial Condition and Results of Operations” included in our Annual Report on Form 10-K for the year ended December 31, 2024. Our significant accounting policies are more fully described in Note 3 of our most recent Annual Report on Form 10-K.</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2025 and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34"/>
        <w:gridCol w:w="146"/>
        <w:gridCol w:w="211"/>
        <w:gridCol w:w="676"/>
        <w:gridCol w:w="546"/>
        <w:gridCol w:w="546"/>
        <w:gridCol w:w="211"/>
        <w:gridCol w:w="736"/>
        <w:gridCol w:w="166"/>
        <w:gridCol w:w="146"/>
        <w:gridCol w:w="211"/>
        <w:gridCol w:w="781"/>
        <w:gridCol w:w="166"/>
        <w:gridCol w:w="146"/>
        <w:gridCol w:w="213"/>
        <w:gridCol w:w="703"/>
        <w:gridCol w:w="767"/>
      </w:tblGrid>
      <w:tr>
        <w:trPr/>
        <w:tc>
          <w:tcPr>
            <w:tcW w:w="3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net was $66.0 million for the three months ended September 30, 2025, due to sales of VYKAT XR after FDA approval was obtained in March 2025, compared to zero for the three months ended September 30,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goods sold was $1.1 million for the three months ended September 30, 2025, due to sales of VYKAT XR after FDA approval was obtained in March 2025, compared to zero for the three months ended September 30, 2024. Prior to receiving FDA approval, costs associated with the manufacturing of VYKAT XR were expensed as research and development expense. As such, a portion of the cost of inventory sold during the period was expensed prior to FDA approval.</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was $8.4 million, which includes $2.2 million of non-cash stock-based compensation, for the three months ended September 30, 2025, compared to $30.1 million, which includes $18.5 million of non-cash stock-based compensation, in the same period of 2024. Costs in support of our June 2024 New Drug Application (NDA) submission and Marketing Authorization Application (MAA) submission in Europe, which was submitted in the second quarter of 2025, supply chain activities, and clinical activities decreased $3.5 million, $0.8 million, and $0.5 million, respectively, between comparable periods. The cadence of our research and development expenditures will fluctuate depending upon the state of our clinical programs, the timing of manufacturing and other projects necessary to support the submission of our regulatory filings and activities for commercial launch.</w:t>
      </w:r>
    </w:p>
    <w:p>
      <w:pPr>
        <w:pStyle w:val="TextBody"/>
        <w:bidi w:val="0"/>
        <w:spacing w:before="360" w:after="283"/>
        <w:jc w:val="left"/>
        <w:rPr>
          <w:rFonts w:ascii="Times New Roman" w:hAnsi="Times New Roman"/>
          <w:sz w:val="20"/>
        </w:rPr>
      </w:pPr>
      <w:r>
        <w:rPr>
          <w:rFonts w:ascii="Times New Roman" w:hAnsi="Times New Roman"/>
          <w:b/>
          <w:i/>
          <w:color w:val="000000"/>
          <w:sz w:val="20"/>
        </w:rPr>
        <w:t>Selling, 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 was $33.8 million, which includes $7.8 million of non-cash stock-based compensation, for the three months ended September 30, 2025, compared to $49.2 million, which includes $38.1 million of non-cash stock-based compensation, in the same period of 2024. Personnel and associated costs increased $6.4 million as we hired additional employees for commercial launch and in support of our increased business activities. New program costs associated with commercial launch, including disease state education, analytics, other marketing programs, medical affairs activities and patient advocacy activities increased by $8.6 million. We expect selling, general and administrative expenses to continue to increase as we continue commercialization of VYKAT XR.</w:t>
      </w:r>
    </w:p>
    <w:p>
      <w:pPr>
        <w:pStyle w:val="TextBody"/>
        <w:bidi w:val="0"/>
        <w:spacing w:before="360" w:after="283"/>
        <w:jc w:val="left"/>
        <w:rPr>
          <w:rFonts w:ascii="Times New Roman" w:hAnsi="Times New Roman"/>
          <w:sz w:val="20"/>
        </w:rPr>
      </w:pPr>
      <w:r>
        <w:rPr>
          <w:rFonts w:ascii="Times New Roman" w:hAnsi="Times New Roman"/>
          <w:b/>
          <w:i/>
          <w:color w:val="000000"/>
          <w:sz w:val="20"/>
        </w:rPr>
        <w:t>Change in fair value of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obligated to make cash payments up to a maximum of $21.2 million to the former Essentialis stockholders upon the achievement of certain future commercial milestones associated with the sales of VYKAT XR in accordance with the terms of our 2017 merger agreement with Essentialis. The fair value of the liability for the contingent consideration payable by us achieving two commercial sales milestones of $100 million and $200 million in cumulative revenue in future years was estimated to be $19.5 million as of September 30, 2025, a $0.6 million increase from the estimate as of June 30, 2025, primarily due to continued product revenue from sales of VYKAT XR. During the three months ended September 30, 2024, the estimate increased by $0.9 million from the $13.6 million estimate as of June 30,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other income (expense), net of approximately $3.9 million in the three months ended September 30, 2025, compared to approximately $3.6 million during the three months ended September 30, 2024. The increase was primarily due to an increase in interest income driven by higher cash and cash equivalents and marketable securities, partially offset by interest expense associated with the long-term debt during the three months ended September 30, 2025, compared to the three months ended September 30,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2025 and 2024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2"/>
        <w:gridCol w:w="146"/>
        <w:gridCol w:w="211"/>
        <w:gridCol w:w="781"/>
        <w:gridCol w:w="546"/>
        <w:gridCol w:w="546"/>
        <w:gridCol w:w="211"/>
        <w:gridCol w:w="841"/>
        <w:gridCol w:w="166"/>
        <w:gridCol w:w="146"/>
        <w:gridCol w:w="211"/>
        <w:gridCol w:w="736"/>
        <w:gridCol w:w="166"/>
        <w:gridCol w:w="146"/>
        <w:gridCol w:w="213"/>
        <w:gridCol w:w="703"/>
        <w:gridCol w:w="764"/>
      </w:tblGrid>
      <w:tr>
        <w:trPr/>
        <w:tc>
          <w:tcPr>
            <w:tcW w:w="3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36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7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128,838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net was $98.7 million for the nine months ended September 30, 2025, due to sales of VYKAT XR after FDA approval was obtained in March 2025, compared to zero for the nine months ended September 30,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goods sold was $1.8 million for the nine months ended September 30, 2025, due to sales of VYKAT XR after FDA approval was obtained in March 2025, compared to zero for the nine months ended September 30, 2024. Prior to receiving FDA approval, costs associated with the manufacturing of VYKAT XR were expensed as research and development expense. As such, a portion of the cost of inventory sold during the period was expensed prior to FDA approval.</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was $31.1 million, which includes $8.9 million of non-cash stock-based compensation, for the nine months ended September 30, 2025, compared to $57.1 million, which includes $23.7 million of non-cash stock-based compensation, in the same period of 2024. Personnel and other associated costs increased $1.3 million as we hired additional employees in support of our research and development activities while costs in support of our June 2024 NDA submission, supply chain activities and clinical activities decreased, $7.1 million, $2.3 million and $4.1 million, respectively, between comparable periods. We incurred an additional $1.0 million of expense in the nine months ended September 30, 2025 towards our MAA submission in Europe, which was submitted in the second quarter of 2025. The cadence of our research and development expenditures will fluctuate depending upon the state of our clinical programs, the timing of manufacturing and other projects necessary to support the submission of our regulatory filings and activities for commercial launch.</w:t>
      </w:r>
    </w:p>
    <w:p>
      <w:pPr>
        <w:pStyle w:val="TextBody"/>
        <w:bidi w:val="0"/>
        <w:spacing w:before="360" w:after="283"/>
        <w:jc w:val="left"/>
        <w:rPr>
          <w:rFonts w:ascii="Times New Roman" w:hAnsi="Times New Roman"/>
          <w:sz w:val="20"/>
        </w:rPr>
      </w:pPr>
      <w:r>
        <w:rPr>
          <w:rFonts w:ascii="Times New Roman" w:hAnsi="Times New Roman"/>
          <w:b/>
          <w:i/>
          <w:color w:val="000000"/>
          <w:sz w:val="20"/>
        </w:rPr>
        <w:t>Selling, 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 was $91.3 million, which includes $25.5 million of non-cash stock-based compensation, for the nine months ended September 30, 2025, compared to $68.6 million, which includes $46.5 million of non-cash stock-based compensation, in the same period of 2024. Personnel and associated costs increased $21.7 million as we hired additional employees for commercial launch and in support of our increased business activities. New program costs associated with commercial launch, including disease state education, analytics, other marketing programs, medical affairs activities and patient advocacy activities increased by $21.2 million. We expect selling, general and administrative expenses to continue to increase as we continue commercialization of VYKAT XR.</w:t>
      </w:r>
    </w:p>
    <w:p>
      <w:pPr>
        <w:pStyle w:val="TextBody"/>
        <w:bidi w:val="0"/>
        <w:spacing w:before="360" w:after="283"/>
        <w:jc w:val="left"/>
        <w:rPr>
          <w:rFonts w:ascii="Times New Roman" w:hAnsi="Times New Roman"/>
          <w:sz w:val="20"/>
        </w:rPr>
      </w:pPr>
      <w:r>
        <w:rPr>
          <w:rFonts w:ascii="Times New Roman" w:hAnsi="Times New Roman"/>
          <w:b/>
          <w:i/>
          <w:color w:val="000000"/>
          <w:sz w:val="20"/>
        </w:rPr>
        <w:t>Change in fair value of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obligated to make cash payments up to a maximum of $21.2 million to the former Essentialis stockholders upon the achievement of certain future commercial milestones associated with the sales of VYKAT XR in accordance with the terms of our 2017 merger agreement with Essentialis. The fair value of the liability for the contingent consideration payable by us achieving two commercial sales milestones of $100 million and $200 million in cumulative revenue in future years was estimated to be $19.5 million as of September 30, 2025, a $4.7 million increase from the estimate as of December 31, 2024, primarily due to the approval of our NDA for VYKAT XR by the FDA in March 2025 and recording product revenue from sales of VYKAT XR subsequent to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During the nine months ended September 30, 2024, the estimate increased by $2.9 million from the $11.6 million estimate as of December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other income (expense), net of approximately $7.7 million in the nine months ended September 30, 2025, compared to approximately $8.7 million during the nine months ended September 30, 2024. The decrease was primarily due to interest expense associated with the long-term debt, partially offset by an increase in interest income driven by higher cash and cash equivalents and marketable securities during the nine months ended September 30, 2025, compared to the nine months ended September 30,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used $1.9 million of net cash in operating activities and had a net loss of $22.5 million during the nine months ended September 30, 2025. We had an accumulated deficit of $474.7 million at September 30, 2025 as a result of losses incurred since our inception. We had $246.7 million in cash and cash equivalents, $309.4 million of marketable securities and $501.6 million of working capital on September 30, 2025 and we had a lease obligation totaling $2.8 million to be paid through August 2029, consisting of one operating lease for office space in Redwood City, California. We became profitable for the three months ended September 30, 2025 and our ability to sustain operating profitability is dependent upon continued successful commercialization of VYKAT XR.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we had $50.0 million outstanding under our loan and security agreement with Oxford. Under the terms of the loan agreement with Oxford, following FDA approval of VYKAT XR, an additional $50 million became available through September 30, 2025, but was not drawn down, and $25 million is available during the period October 1, 2025 to September 30, 2026. An additional tranche of $25 million may become available upon achievement of certain commercial milestones. A final $50 million may be made available upon mutual consent with Oxford. The loan carries an interest-only period of 48 months and a total term of 60 months; provided that if specific milestones are achieved prior to September 30, 2026, the interest-only period and maturity date will be extended by 12 months. The term loans accrue interest at a floating rate equal to, subject to certain conditions, (a) 1-month term SOFR plus (b) 5.50%.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2025, we closed an underwritten public offering of 2,705,882 shares of our common stock at a public offering price of $85.00 per share, which included the exercise in full by the underwriters of their option to purchase additional shares of our common stock. The gross proceeds of the public offering were $230.0 million, before deducting the underwriter discount and other offering expenses, totaling approximately $14.3 million.</w:t>
      </w:r>
    </w:p>
    <w:p>
      <w:pPr>
        <w:pStyle w:val="TextBody"/>
        <w:bidi w:val="0"/>
        <w:spacing w:before="120" w:after="283"/>
        <w:jc w:val="left"/>
        <w:rPr>
          <w:rFonts w:ascii="Times New Roman" w:hAnsi="Times New Roman"/>
          <w:sz w:val="20"/>
        </w:rPr>
      </w:pPr>
      <w:r>
        <w:rPr>
          <w:rFonts w:ascii="Times New Roman" w:hAnsi="Times New Roman"/>
          <w:color w:val="000000"/>
          <w:sz w:val="20"/>
        </w:rPr>
        <w:t>In July 2024, we entered into an Open Market Sale Agreement</w:t>
      </w:r>
      <w:r>
        <w:rPr>
          <w:rFonts w:ascii="Times New Roman" w:hAnsi="Times New Roman"/>
          <w:color w:val="000000"/>
          <w:sz w:val="13"/>
        </w:rPr>
        <w:t xml:space="preserve">SM </w:t>
      </w:r>
      <w:r>
        <w:rPr>
          <w:rFonts w:ascii="Times New Roman" w:hAnsi="Times New Roman"/>
          <w:color w:val="000000"/>
          <w:sz w:val="20"/>
        </w:rPr>
        <w:t>with Jefferies LLC, as sales agent (Jefferies), pursuant to which we may offer and sell, from time to time, through Jefferies, shares of our common stock having an aggregate offering price of up to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marketable securities and cash flows from operations will be sufficient to meet the company's working capital needs for the next twelve months. Our long-term capital requirements will depend on several factors, most notably the timing and degree of success of our continued commercialization of VYKAT XR. We believe that we will continue to have access to capital resources through possible public or private equity offerings, debt financings, corporate collaborations or other means, but the access to such capital resources is uncertain and is not assured. </w:t>
      </w:r>
    </w:p>
    <w:p>
      <w:pPr>
        <w:pStyle w:val="TextBody"/>
        <w:bidi w:val="0"/>
        <w:spacing w:before="36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and cash equivalents for each of the periods presented below (in thousands): </w:t>
      </w:r>
    </w:p>
    <w:p>
      <w:pPr>
        <w:pStyle w:val="TextBody"/>
        <w:bidi w:val="0"/>
        <w:jc w:val="left"/>
        <w:rPr/>
      </w:pPr>
      <w:r>
        <w:rPr/>
        <w:t> </w:t>
      </w:r>
    </w:p>
    <w:tbl>
      <w:tblPr>
        <w:tblW w:w="7650" w:type="dxa"/>
        <w:jc w:val="left"/>
        <w:tblInd w:w="0" w:type="dxa"/>
        <w:tblLayout w:type="fixed"/>
        <w:tblCellMar>
          <w:top w:w="28" w:type="dxa"/>
          <w:left w:w="28" w:type="dxa"/>
          <w:bottom w:w="28" w:type="dxa"/>
          <w:right w:w="28" w:type="dxa"/>
        </w:tblCellMar>
      </w:tblPr>
      <w:tblGrid>
        <w:gridCol w:w="4521"/>
        <w:gridCol w:w="146"/>
        <w:gridCol w:w="232"/>
        <w:gridCol w:w="860"/>
        <w:gridCol w:w="182"/>
        <w:gridCol w:w="160"/>
        <w:gridCol w:w="232"/>
        <w:gridCol w:w="92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237,061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158,734</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2025, operating activities used net cash of $1.9 million, which was primarily due to the net loss of $22.5 million, less non-cash expense of $34.4 million for stock-based compensation, $1.5 million for depreciation and amortization, $0.5 million for non-cash lease expense, $4.7 million related to the change in fair value of contingent consideration,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$2.3 million added back for accretion of premium/discount on marketable securities. Additionally, cash used during the nine months ended September 30, 2025 decreased by $18.2 million due to changes in operating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operating activities used net cash of $45.1 million, which was primarily due to the net loss of $119.9 million, less non-cash expense of $70.2 million for stock-based compensation, $1.5 million for depreciation and amortization, $0.3 million for non-cash lease expense, $2.9 million related to the change in fair value of contingent consideration, and $3.5 million added back for the accretion of premium/discount on marketable securities. Additionally, cash used during the nine months ended September 30, 2024 increased by $3.4 million due to changes in operating assets and liabilities.</w:t>
      </w:r>
    </w:p>
    <w:p>
      <w:pPr>
        <w:pStyle w:val="TextBody"/>
        <w:bidi w:val="0"/>
        <w:spacing w:before="360" w:after="283"/>
        <w:jc w:val="left"/>
        <w:rPr>
          <w:rFonts w:ascii="Times New Roman" w:hAnsi="Times New Roman"/>
          <w:sz w:val="20"/>
        </w:rPr>
      </w:pPr>
      <w:r>
        <w:rPr>
          <w:rFonts w:ascii="Times New Roman" w:hAnsi="Times New Roman"/>
          <w:b/>
          <w:i/>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we used $267.9 million for purchases of marketable securities. We received proceeds of $191.5 million from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we used $308.9 million for purchases of marketable securities and $0.2 million for purchases of property and equipment. We received proceeds of $77.0 million from maturities of marketable securities.</w:t>
      </w:r>
    </w:p>
    <w:p>
      <w:pPr>
        <w:pStyle w:val="TextBody"/>
        <w:bidi w:val="0"/>
        <w:spacing w:before="36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we received $215.7 million from the sale of common stock, net of issuance costs, $5.2 million from the exercise of common stock warrants, and $16.2 million from the exercise of stock options. We paid $0.1 million of debt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we received $149.0 million from the sale of common stock, net of issuance costs, $5.7 million from the exercise of common stock and pre-funded stock warrants, and $1.3 million from the exercise of stock options.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off-balance sheet arrangements.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“Recent Adopted Accounting Pronouncements” described in Note 3, Basis of Presentation and Summary of Significant Accounting Policies within Notes to the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4, 2025, President Trump signed H.R. 1, the “One Big Beautiful Bill Act” (“OBBBA”), into law. In accordance with U.S. GAAP, we will account for the tax effects of changes in tax law in the period of enactment which is the third quarter of calendar year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analyzed the impacts of OBBBA and at this time are determining whether we will elect to accelerate the capitalized domestic Section 174 costs over one year or two years. Due to the full valuation allowance and since there are no impacts to current taxes, we do not anticipate any material impacts to our quarterly financial statements.</w:t>
      </w:r>
    </w:p>
    <w:p>
      <w:pPr>
        <w:pStyle w:val="TextBody"/>
        <w:bidi w:val="0"/>
        <w:spacing w:before="360" w:after="283"/>
        <w:jc w:val="left"/>
        <w:rPr>
          <w:rFonts w:ascii="Times New Roman" w:hAnsi="Times New Roman"/>
          <w:sz w:val="20"/>
        </w:rPr>
      </w:pPr>
      <w:bookmarkStart w:id="11" w:name="item_3_quantitative_and_qualitative"/>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not been any material changes to our exposure to market risk during the nine months ended September 30, 2025. For additional information regarding market risk, refer to Part II, Item </w:t>
      </w:r>
      <w:r>
        <w:rPr>
          <w:rFonts w:ascii="Times New Roman" w:hAnsi="Times New Roman"/>
          <w:i/>
          <w:color w:val="000000"/>
          <w:sz w:val="20"/>
        </w:rPr>
        <w:t>7A Qualitative and Quantitative Disclosures About Market Risk</w:t>
      </w:r>
      <w:r>
        <w:rPr>
          <w:rFonts w:ascii="Times New Roman" w:hAnsi="Times New Roman"/>
          <w:color w:val="000000"/>
          <w:sz w:val="20"/>
        </w:rPr>
        <w:t xml:space="preserve"> in our Annual Report on Form 10-K for the year ended December 31, 2024. </w:t>
      </w:r>
    </w:p>
    <w:p>
      <w:pPr>
        <w:pStyle w:val="TextBody"/>
        <w:bidi w:val="0"/>
        <w:spacing w:before="360" w:after="283"/>
        <w:jc w:val="left"/>
        <w:rPr>
          <w:rFonts w:ascii="Times New Roman" w:hAnsi="Times New Roman"/>
          <w:sz w:val="20"/>
        </w:rPr>
      </w:pPr>
      <w:bookmarkStart w:id="12" w:name="controls_and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Inherent Limitations on Effectiveness of Controls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360" w:after="283"/>
        <w:jc w:val="left"/>
        <w:rPr>
          <w:rFonts w:ascii="Times New Roman" w:hAnsi="Times New Roman"/>
          <w:sz w:val="20"/>
        </w:rPr>
      </w:pPr>
      <w:r>
        <w:rPr>
          <w:rFonts w:ascii="Times New Roman" w:hAnsi="Times New Roman"/>
          <w:b/>
          <w:color w:val="000000"/>
          <w:sz w:val="20"/>
        </w:rPr>
        <w:t>(a)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were not effective at the reasonable assurance level due to the material weakness described below.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Material Weakness in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our Annual Report on Form 10-K for the year ended December 31, 2024, we identified a material weakness in internal control related to ineffective design and operation of controls over certain information technology general controls (ITGCs), including segregation of incompatible duties, program change management, and user access controls. As a result, the related business process controls (IT application controls and IT-dependent manual controls) that are dependent on the ineffective ITGCs, or that use data produced from the system impacted by the ineffective ITGCs, were also ineffective.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material weakness identified above did not result in any material misstatements in our financial statements or disclosures, and there were no changes to previously released financial results. Our management concluded that the unaudited condensed consolidated financial statements included in this Quarterly Report on Form 10-Q, present fairly, in all material respects, our financial position, results of operations, and cash flows for the periods presented in accordance with accounting principles generally accepted in the United States of America (GAAP).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 Remediation of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committed to maintaining a strong internal control environment. Management is taking comprehensive actions to remediate the material weakness in internal control over financial reporting, which include the following:</w:t>
      </w:r>
    </w:p>
    <w:p>
      <w:pPr>
        <w:pStyle w:val="TextBody"/>
        <w:bidi w:val="0"/>
        <w:spacing w:before="360" w:after="283"/>
        <w:jc w:val="left"/>
        <w:rPr>
          <w:color w:val="000000"/>
        </w:rPr>
      </w:pPr>
      <w:r>
        <w:rPr>
          <w:color w:val="00000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Hire additional personnel in the accounting and financial reporting function that would allow for appropriate segregation of duties, both systematically and operationally. We will continue to reassess staffing and add additional resources, as required, with the requisite experience and training, to support our system of internal control;</w:t>
      </w:r>
    </w:p>
    <w:p>
      <w:pPr>
        <w:pStyle w:val="TextBody"/>
        <w:bidi w:val="0"/>
        <w:spacing w:before="360" w:after="283"/>
        <w:jc w:val="left"/>
        <w:rPr>
          <w:color w:val="000000"/>
        </w:rPr>
      </w:pPr>
      <w:r>
        <w:rPr>
          <w:color w:val="00000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Implement a training program for all personnel responsible for internal controls over financial reporting, including educating control owners regarding the requirements of each control. For control owners with IT responsibilities, develop and implement additional training and awareness programs addressing ITGC policy and requirements, with a specific focus on user access and change management processes and controls;</w:t>
      </w:r>
    </w:p>
    <w:p>
      <w:pPr>
        <w:pStyle w:val="TextBody"/>
        <w:bidi w:val="0"/>
        <w:spacing w:before="360" w:after="283"/>
        <w:jc w:val="left"/>
        <w:rPr>
          <w:color w:val="000000"/>
        </w:rPr>
      </w:pPr>
      <w:r>
        <w:rPr>
          <w:color w:val="00000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Continue to enhance, standardize and monitor the ongoing improvements in design and operating effectiveness of our controls and the adherence of our personnel to any enhancements in controls, policies, and procedures. Moreover, within our IT environment, increase the extent of oversight and verification checks included in the operation of user access and program change management controls and processes; and</w:t>
      </w:r>
    </w:p>
    <w:p>
      <w:pPr>
        <w:pStyle w:val="TextBody"/>
        <w:bidi w:val="0"/>
        <w:spacing w:before="360" w:after="283"/>
        <w:jc w:val="left"/>
        <w:rPr>
          <w:color w:val="000000"/>
        </w:rPr>
      </w:pPr>
      <w:r>
        <w:rPr>
          <w:color w:val="00000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will continue to report regularly to the audit committee of our board of directors on the progress and results of the remediation plan, including the identification, status and resolution of internal control deficiencies.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 foregoing efforts will effectively remediate the identified material weakness in internal controls over financial reporting. Because the reliability of the internal control process requires repeatable execution, the successful remediation will require review and evidence of effectiveness prior to management concluding that our internal controls over financial reporting are effective. We may also conclude that the additional measures may be required to remediate the material weakness which may necessitate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implementation and evaluation time. We will continue to assess the effectiveness of our internal control over financial reporting and take steps to remediate the material weakness expeditiously.</w:t>
      </w:r>
    </w:p>
    <w:p>
      <w:pPr>
        <w:pStyle w:val="TextBody"/>
        <w:bidi w:val="0"/>
        <w:spacing w:before="360" w:after="283"/>
        <w:jc w:val="left"/>
        <w:rPr>
          <w:rFonts w:ascii="Times New Roman" w:hAnsi="Times New Roman"/>
          <w:sz w:val="20"/>
        </w:rPr>
      </w:pPr>
      <w:r>
        <w:rPr>
          <w:rFonts w:ascii="Times New Roman" w:hAnsi="Times New Roman"/>
          <w:b/>
          <w:color w:val="000000"/>
          <w:sz w:val="20"/>
        </w:rPr>
        <w:t>(d) 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we began to implement certain internal controls in connection with remediation efforts related to the material weakness identified in our Annual Report on Form 10-K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described above, there have been no changes to our internal control over financial reporting that occurred during the nine months ended September 30, 2025, that have materially affected, or are reasonably likely to materially affect, our internal control over financial reporting.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_othe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Risk Factor</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business is subject to numerous risks and uncertainties that you should consider before investing in our company, as fully described below. The principal factors and uncertainties that make investing in our company risky include,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have limited commercialization history as a company and have incurred significant losses since our inception;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upon the success of VYKAT XR, our sole FDA-approved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VYKAT XR may fail to achieve the degree of market acceptance by physicians, patients, caregivers, healthcare payers and others in the medical community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expand our development, regulatory and sales and marketing capabilities, and as a result, we may encounter difficulties in managing our growth, which could disrupt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 rights may prove to be an inadequate barrier to 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significant increased costs as a result of operating as a public company, and our management has devoted and will be required to continue to devote substantial time to new compliance initiatives;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recently have been and may be in the future become subject to short-selling campaigns, activist investors and securities litigation, which are expensive and could divert management attention;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condition and capital requirements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We have limited commercialization history as a company and have incurred significant losses since our inception.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been a clinical-stage company with no approved therapeutic products or revenues from the sale of therapeutic products. Following FDA approval on March 26, 2025, we have begun to commercialize our first product, VYKAT XR, to treat hyperphagia in patients four years and older who have Prader-Willi syndrome (PWS). Evaluating our performance, viability or future success will be more difficult than if we had a longer operating history or prior approved products for sale on the market. Even following approval of VYKAT XR, we will continue to incur significant research and development and selling, general and administrative expenses and will incur substantial commercial expenses related to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immediate future financial results will depend primarily on our success in launching, selling and supporting VYKAT XR. This will require us to be successful in a range of activities, including manufacturing, marketing and selling our products. We are only in the preliminary stages of some of these activities and may not succeed in the long-term.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pStyle w:val="TextBody"/>
        <w:bidi w:val="0"/>
        <w:spacing w:before="180" w:after="283"/>
        <w:jc w:val="left"/>
        <w:rPr>
          <w:rFonts w:ascii="Times New Roman" w:hAnsi="Times New Roman"/>
          <w:sz w:val="20"/>
        </w:rPr>
      </w:pPr>
      <w:r>
        <w:rPr>
          <w:rFonts w:ascii="Times New Roman" w:hAnsi="Times New Roman"/>
          <w:b/>
          <w:i/>
          <w:color w:val="000000"/>
          <w:sz w:val="20"/>
        </w:rPr>
        <w:t>We are dependent upon the success of VYKAT XR, our sole FDA-approved product.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substantially all of our efforts and financial resources in the development of VYKAT XR for the treatment of PWS, a rare complex genetic neurobehavioral/metabolic disease. Our ability to generate product revenues will depend primarily on the successful commercialization of VYKAT XR.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success of VYKAT XR will depend on a number of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building an infrastructure capable of supporting product sales, marketing, and distribution of VYKAT XR in the U.S. and territories where we pursue commercialization 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commercial manufacturing arrangements with third 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commercial distribution agreements with third party distributors in geographies outside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VYKAT XR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VYKAT XR by patients, the medical community, and third-party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any post-marketing requirements or post-approval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 commercially viable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marketing approvals in the European Union (E.U.) and other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and efficacy profile of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including any potential challenges to patent listings in the U.S “Approved Drug Products with Therapeutic Equivalence Evaluations” or the “Orange Book”.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achieve one or more of these factors in a timely manner or at all, we could experience significant delays or an inability to successfully commercialize VYKAT XR, which would materially harm our business.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early stages of commercializing VYKAT XR, our current sole novel therapeutic product, and accordingly, through September 30, 2025, have just begun to generate revenue from operations. We had a net loss of $175.9 million during the year ended December 31, 2024 (including non-cash stock-based compensation of $100.0 million) and $22.5 million during the nine months ended September 30, 2025 (including non-cash stock-based compensation of $34.4 million) and an accumulated deficit of $474.7 million at September 30, 2025 as a result of losses incurred since our inception. We had $246.7 million in cash and cash equivalents and $309.4 million in marketable securities at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raise additional capital, either through debt or equity financings to achieve our business plan objectives, including ongoing expenses related to our ongoing regulatory activities and scaling of a sales and marketing organization to support the launch of VYKAT XR. Our ability to obtain additional financing will depend on a number of factors, including, among others, the other risks described in this "Risk Factors" section.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We have just begun to generate product revenue and may not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began to generate revenue from the commercialization of VYKAT XR in the three months ended June 30, 2025. Our ability to generate significant revenue from product sales and achieve sustained profitability will depend upon our ability, alone or with any future collaborators, to successfully commercialize products that we may develop, in-license or acquire in the future. Our ability to generate revenue from product sales from VYKAT XR also depends on a number of additional factors, including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 commercial organization capable of sales, marketing and distribution of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market acceptance of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a commercially viable price for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supply and manufacturing relationships with reliable third parties, and ensure adequate and legally compliant manufacturing to maintain that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coverage and adequate reimbursement from third-party payers, including government and private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find suitable distribution partners to help us market, sell and distribute VYKAT XR in other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and submit applications to, and obtain regulatory approval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complete development activities successfully and on a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maintain and enforce our intellectual property rights and avoid third-party patent interference, intellectual property challenges, including any potential challenges to our Orange Book patent listings in the U.S., or intellectual property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if we will be able to maintain profitability. In addition, our expenses could increase beyond expectations if we decide, or are required by the FDA or foreign regulatory authorities, to perform studies or clinical trials in addition to those that we currently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able to generate significant revenue from the sale of any of our products that may be approved or commercialized, we may not be able to sustain profitability and may need to obtain additional funding to continue operations. If we are unable to sustain profitability on a continuing basis, then we may be unable to continue our operations at planned levels and be forced to reduce or shut down our operations.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have a significant amount of debt, which may affect our ability to operate our business and secure additional financing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$50.0 million outstanding under our loan and security agreement with Oxford Financing LLC and its affiliates (collectively, Oxford). Under the terms of the loan agreement with Oxford, following FDA approval of VYKAT XR, an additional $50 million became available through September 30, 2025, but was not drawn, and $25 million is now available during the period October 1, 2025 to September 30, 2026. One additional tranche of $25 million may become available upon achievement of certain commercial milestones. A final $50 million may be made available upon mutual consent with Oxford. The loan carries an interest-only period of 48 months and a total term of 60 months; provided that if specific milestones are achieved prior to September 30, 2026, the interest-only period and maturity date will be extended by 12 months. Subject to certain conditions, the term loans accrue interest at a floating rate equal to (a) 1-month term SOFR plus (b) 5.50%. Our debt with Oxford is collateralized by substantially all of our assets and contains customary financial and operating covenants limiting our ability to, among other things, dispose of assets, undergo a change in control, merge or consolidate, enter into certain transactions with affiliates, make acquisitions, incur debt, incur liens, pay dividends, repurchase stock and make investments, in each case subject to certain exceptions. The covenants in our loan agreement with Oxford, as well as in any future financing agreements into which we may enter, may restrict our ability to finance our operations and engage in, expand or otherwise pursue our business activities and strategies. Our ability to comply with these covenants may be affected by events beyond our control and future breaches of any of these covenants could result in a default under the loan agreement. If not waived, future defaults could cause all of the outstanding indebtedness under the loan agreement to become immediately due and payable and terminate commitments to extend further credit. 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below our guidance.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In addition to the risks related to a company launching its first commercial drug described elsewhere in this "Risk Factors" section, the success of a new drug product is inherently difficult to predict and we may not recognize revenue as quickly, consistently or in the amounts that we, analysts or investors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risk of initiating sales and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products may vary depending on FDA and other regulatory requirements,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planned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competitive landscape of our industry, including consolidation among our competitors or potential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our products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future products, if approved, and existing and potential future drugs that compete with our planned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offerings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our products inside and outside of the U.S., either independently or working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patients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timing and outcomes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regulatory review or approval in the U.S. or globally, of any of our planned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planned products, which will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changing and volatile global economic environment.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unknown and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of our business and diversion of our management’s time and attention in order to develop acquired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incurrence of substantial debt or dilutive issuances of equity securities to pay for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than expected acquisition and integration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likelihood of payment of milestones or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write-downs of assets or goodwill or impairment charges;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expenditures, including additional research, development and sales and marketing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amortization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and cost in combining the operations and personnel of any acquired businesses with our operations and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relationships with key suppliers or customers of any acquired businesses due to changes in management and ownership.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not be able to enter into strategic transactions on a timely basis or on acceptable terms, which may impact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commercialization of VYKAT XR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VYKAT XR may fail to achieve the degree of market acceptance by physicians, patients, caregivers, healthcare payers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VYKAT XR may fail to gain sufficient market acceptance by physicians, hospital administrators, patients, healthcare payers and others in the medical community. The degree of market acceptance of VYKAT XR will depend on a number of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incidence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its effectiveness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we charge for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physicians to change their current treatment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or caregivers' perception of the efficacy of VYKAT XR and interest in remaining on-drug long-term;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or effectiveness of marketing and distribution support of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third-party coverage or reimbursement.</w:t>
      </w:r>
    </w:p>
    <w:p>
      <w:pPr>
        <w:pStyle w:val="TextBody"/>
        <w:bidi w:val="0"/>
        <w:spacing w:before="180" w:after="283"/>
        <w:jc w:val="left"/>
        <w:rPr>
          <w:rFonts w:ascii="Times New Roman" w:hAnsi="Times New Roman"/>
          <w:sz w:val="20"/>
        </w:rPr>
      </w:pPr>
      <w:r>
        <w:rPr>
          <w:rFonts w:ascii="Times New Roman" w:hAnsi="Times New Roman"/>
          <w:b/>
          <w:i/>
          <w:color w:val="000000"/>
          <w:sz w:val="20"/>
        </w:rPr>
        <w:t>If the market opportunity for VYKAT XR is smaller than we believe it is, then our revenues may be adversely affected, and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PWS is a rare disease, and as such, our projections of both the number of people who have this disease, as well as the subset of people with PWS who could be prescribed VYKAT XR, are estimates based on data analysis of the reported patient population. If our estimates of the prevalence of PWS, the number of patients who may benefit from treatment with VYKAT XR, or the number of patients willing to stay on treatment indefinitely prove to be incorrect, the market opportunity for VYKAT XR may be smaller than we believe it is, our prospects for generating revenue may be adversely affected and our business may suffer.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are unable to execute our sales and marketing strategy for VYKAT XR or are unable to gain acceptance in the market, we may be unable to generate sufficient revenue to sustain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believe that VYKAT XR represents a promising commercial opportunity, VYKAT XR may never gain significant acceptance in the marketplace and therefore may never generate substantial revenue or sustainable profits for us. We will need to establish a market for VYKAT XR globally and build these markets through physician education, awareness programs, and other marketing efforts. Gaining acceptance in medical communities depends on a variety of factors, including clinical data published or reported in reputable contexts, the provisions of the approved label for VYKAT XR, and word-of-mouth between physicians. The process of publication in leading medical journals is subject to a peer review process and peer reviewers may not consider the results of our studies sufficiently novel or worthy of publication. Failure to have our trials published in peer-reviewed journals may limit the adoption of our products. Our ability to successfully market our products will depend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outcomes of clinical utility trials of such products in collaboration with key thought leaders to demonstrate our products’ value in informing important medical decisions such as treatment selection;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distribution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healthcare providers believe VYKAT XR provides clinical utility which outweighs potential side effects;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health insurers, government health programs and other payers will cover and pay for VYKAT XR and, if so, whether they will adequately reimburse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rely on third parties, who we do not control, to distribute and sell VYKAT XR. If these distributors are not committed to VYKAT XR or otherwise run into their own financial or other difficulties, it may result in failure to achieve widespread market acceptance of VYKAT XR, and would materially harm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implement our sales, marketing, distribution, training and support strategies or enter into agreements with third parties to perform these functions, we will not be able to effectively commercialize VYKAT XR and may not sustain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achieve commercial success for VYKAT XR, we will need to establish a robust sales and marketing organization. We have built a targeted sales, marketing, training and support infrastructure to market VYKAT XR in the U.S. and to establish relationships with collaborations to market, distribute and support VYKAT XR outside of the U.S. There are risks involved with establishing our own sales, marketing, distribution, training and support capabilities. For example, recruiting and training sales and marketing personnel is expensive and time-consuming and could impact any product launch. Additionally, commercialization of therapeutic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VYKAT XR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or persuade adequate numbers of physicians to prescribe VYKAT XR or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by our competitors to commercialize products at or about the time when our product candidates would be coming to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VYKAT XR ourselves. In addition, we may not be successful in entering into arrangements with third parties to sell, market and distribute VYKAT XR or may be unable to do so on terms that are favorable to us. We likely will have little control over such third parties, and any of them may fail to devote the necessary resources and attention to commercialize VYKAT XR effectively. If we do not establish sales, marketing, distribution, training and support capabilities successfully, either on our own or in collaboration with third parties, we will not be successful in commercializing VYKAT XR and achieving sustainable profitability, and our business would be harmed. </w:t>
      </w:r>
    </w:p>
    <w:p>
      <w:pPr>
        <w:pStyle w:val="TextBody"/>
        <w:bidi w:val="0"/>
        <w:spacing w:before="180" w:after="283"/>
        <w:jc w:val="left"/>
        <w:rPr>
          <w:rFonts w:ascii="Times New Roman" w:hAnsi="Times New Roman"/>
          <w:sz w:val="20"/>
        </w:rPr>
      </w:pPr>
      <w:r>
        <w:rPr>
          <w:rFonts w:ascii="Times New Roman" w:hAnsi="Times New Roman"/>
          <w:b/>
          <w:i/>
          <w:color w:val="000000"/>
          <w:sz w:val="20"/>
        </w:rPr>
        <w:t>If physicians decide not to prescribe VYKAT XR, we may be unable to generate sufficient revenue to sustain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generate demand for VYKAT XR,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physicians, hospital administrators, patients, healthcare payers and others in the medical community that the clinical and economic utility of our products justifies payment for VYKAT XR at adequate pricing levels. We will also need to continue to train physicians on how to appropriately treat patients with VYKAT XR, and may find that some physicians are unwilling or unable to dedicate the necessary time or resources to appropriately treat patients with VYKAT XR. We may need to hire additional commercial, scientific, technical and other personnel to support this process.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attempt to form partnerships with respect to VYKAT XR, but we may not be able to do so, which may cause us to alter our development and commercialization plans and may cause us to terminate any such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form strategic alliances, create joint ventures or collaborations, or enter into licensing agreements with third parties that we believe will more effectively provide resources to develop and commercialize VYKAT XR.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identifying suitable collaborators and entering into agreements to develop or commercialize VYKAT XR could negatively impact the development or commercialization of our products, particularly in geographic regions like the Europe, where we have limited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products or bring them to market, and our business may be materially and adversely affected. </w:t>
      </w:r>
    </w:p>
    <w:p>
      <w:pPr>
        <w:pStyle w:val="TextBody"/>
        <w:bidi w:val="0"/>
        <w:spacing w:before="180" w:after="283"/>
        <w:jc w:val="left"/>
        <w:rPr>
          <w:rFonts w:ascii="Times New Roman" w:hAnsi="Times New Roman"/>
          <w:sz w:val="20"/>
        </w:rPr>
      </w:pPr>
      <w:r>
        <w:rPr>
          <w:rFonts w:ascii="Times New Roman" w:hAnsi="Times New Roman"/>
          <w:b/>
          <w:i/>
          <w:color w:val="000000"/>
          <w:sz w:val="20"/>
        </w:rPr>
        <w:t>VYKAT XR may cause serious adverse side effects or have other properties that could limit the commercial desirability or result in significant negative consequences following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VYKAT XR could result in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recall VYKAT XR and suspend the marketing of VYKAT XR;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approvals of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that could diminish the usage or otherwise limit the commercial success of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bodies may issue safety alerts, Dear Healthcare Provider letters, press releases or other communications containing warnings about VYKAT XR;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require the establishment of Risk Evaluation Mitigation Strategy or a comparable foreign regulatory authority may require a similar strategy that may, for instance, restrict distribution of our products and impose burdensome implementation requirements on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VYKAT XR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submit a Citizen Petition to the FDA asking for the FDA to request that we voluntarily recall VYKAT XR;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subjects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litigation or product liability claims;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VYKAT XR. We currently hold $10.0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Additionally, in August 2025, the FDA began daily publication of adverse event data from the FDA's Adverse Event Reporting System (FAERS). The FAERS database includes spontaneous and voluntary reports from patients, caregivers and doctors, as well as mandatory manufacturer reports that companies are required to submit to the FDA, including expedited (15-day) alerts and periodic safety updates. A report in FAERS does not establish that a drug caused an adverse event and the adverse event could have been caused by the patient's underlying disease, other medications, or other factors. Reports frequently lack crucial clinical details like a patient's full medical history, the exact drug dosage, and the case narrative. Because of these limitations, FAERS data cannot be used to determine the frequency or likelihood of adverse events. It is difficult for external researchers and the public to interpret the significance of new reports, which can lead to a misinterpretation of the safety signals reported and a decrease in public confidence in a drug.</w:t>
      </w:r>
    </w:p>
    <w:p>
      <w:pPr>
        <w:pStyle w:val="TextBody"/>
        <w:bidi w:val="0"/>
        <w:spacing w:before="20" w:after="283"/>
        <w:jc w:val="left"/>
        <w:rPr>
          <w:rFonts w:ascii="Times New Roman" w:hAnsi="Times New Roman"/>
          <w:sz w:val="20"/>
        </w:rPr>
      </w:pPr>
      <w:r>
        <w:rPr>
          <w:rFonts w:ascii="Times New Roman" w:hAnsi="Times New Roman"/>
          <w:b/>
          <w:i/>
          <w:color w:val="000000"/>
          <w:sz w:val="20"/>
        </w:rPr>
        <w:t>We face competition, which may result in others discovering, developing or commercializing products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Alternatives product candidates are being developed by our competitors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trial sites and patient registration for clinical trials,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recently been increased activity in the development of drugs to treat the symptoms of PWS. We are aware of at least nine other current or proposed clinical trials evaluating PWS therapies, including with glucagon-like peptide-1 (GLP-1) receptors in patients with PWS. </w:t>
      </w:r>
    </w:p>
    <w:p>
      <w:pPr>
        <w:pStyle w:val="TextBody"/>
        <w:bidi w:val="0"/>
        <w:spacing w:before="180" w:after="283"/>
        <w:jc w:val="left"/>
        <w:rPr>
          <w:rFonts w:ascii="Times New Roman" w:hAnsi="Times New Roman"/>
          <w:sz w:val="20"/>
        </w:rPr>
      </w:pPr>
      <w:r>
        <w:rPr>
          <w:rFonts w:ascii="Times New Roman" w:hAnsi="Times New Roman"/>
          <w:b/>
          <w:i/>
          <w:color w:val="000000"/>
          <w:sz w:val="20"/>
        </w:rPr>
        <w:t>Even if we are able to engage partners in commercializing VYKAT XR, they may become subject to unfavorable pricing regulations, third-party reimbursement practices or healthcare reform initiatives, thereby harming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our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Europe and Japan, the pricing of prescription pharmaceuticals is subject to governmental control. In these countries, pricing negotiations with governmental authorities can take longer than twelve months after the receipt of regulatory marketing approval for a product in many cases.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 </w:t>
      </w:r>
    </w:p>
    <w:p>
      <w:pPr>
        <w:pStyle w:val="TextBody"/>
        <w:bidi w:val="0"/>
        <w:spacing w:before="180" w:after="283"/>
        <w:jc w:val="left"/>
        <w:rPr>
          <w:rFonts w:ascii="Times New Roman" w:hAnsi="Times New Roman"/>
          <w:sz w:val="20"/>
        </w:rPr>
      </w:pPr>
      <w:r>
        <w:rPr>
          <w:rFonts w:ascii="Times New Roman" w:hAnsi="Times New Roman"/>
          <w:b/>
          <w:i/>
          <w:color w:val="000000"/>
          <w:sz w:val="20"/>
        </w:rPr>
        <w:t>International expansion of our business will expose us to business, regulatory, political, operational, financial and economic risks associated with doing business outside of the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contemplates international expansion, including partnering with distributors, and introducing VYKAT XR and other planned products outside the U.S. In May 2025, we announced that our E.U. marketing authorization application (MAA) for obtaining regulatory approval of diazoxide choline prolonged-release tablets (which we market in the U.S. as VYKAT XR) for the treatment of adults and children four years and older with PWS who have hyperphagia had been validated by the European Medicines Agency (EMA). If we are successful in obtaining E.U. marketing authorization, the expansion of our commercial activities in the E.U. will increase our compliance costs and exposure to potential liabilities under E.U. laws. Additionally, doing business internationally involves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multiple, conflicting and changing laws and regulations such as tax laws, export and import restrictions, tariffs, employment laws, regulatory requirements and other governmental approvals, permits and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failure by us or our distributors to obtain regulatory approvals for the sale or use of our current products and our planned future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managing foreign operations, including hiring and maintaining a foreign employee base;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government payer systems, multiple payer-reimbursement regimes or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logistics and regulations associated with shipping products, including infrastructure conditions and transportation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on our ability to penetrate international markets if our distributors do not execute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enforcing contracts and collecting accounts receivable, and exposure to 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or lack of them in certain jurisdictions, forcing more reliance on our trade secrets, if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might illegally distribute and sell counterfeit or unfit versions of our products, which do not meet our rigorous manufacturing, distribution and testing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that is stolen from warehouses or while in-transit, and that is subsequently improperly stored and sold through unauthorized channels, could adversely impact patient safety, our reputation and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political and economic instability, including wars, terrorism and political unrest, including the outbreak of hostilities in the Ukraine and the Middle East, outbreak of disease, boycotts, curtailment of trade and other business restrictions;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the Foreign Corrupt Practices Act, including its books and records provisions and its anti-bribery provisions, by maintaining accurate information and control over sales activities and distributors’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risks, if encountered, could significantly harm our future international expansion and operations and, consequently, have a material adverse effect on our financial condition, results of operations and cash flows.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operation of our business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We expect to continue to expand our development, regulatory and sales and marketing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we had 152 employees, up from 92 and 33 full-time employees as of December 31, 2024 and December 31, 2023, respectively. We have experienced significant growth in the number of our employees and the scope of our operations, particularly in the areas of sales and marketing, quality assurance, product development, regulatory affairs and drug development.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maintaining, motivating and integrating additional employees with the expertise and experience we will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while complying with our contractual obligations to licensors, licensees, contractors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additional relationships with various strategic partners, suppliers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improving our managerial, development, operational and finance reporting systems and procedures;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clinical trials effectively, which we anticipate being conducted at numerous clinical sites;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expanding our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accomplish any of these tasks could prevent us from successfully growing. Any inability to manage growth could delay the execution of our business plans or disrupt our operations. </w:t>
      </w:r>
    </w:p>
    <w:p>
      <w:pPr>
        <w:pStyle w:val="TextBody"/>
        <w:bidi w:val="0"/>
        <w:spacing w:before="180" w:after="283"/>
        <w:jc w:val="left"/>
        <w:rPr>
          <w:rFonts w:ascii="Times New Roman" w:hAnsi="Times New Roman"/>
          <w:sz w:val="20"/>
        </w:rPr>
      </w:pPr>
      <w:r>
        <w:rPr>
          <w:rFonts w:ascii="Times New Roman" w:hAnsi="Times New Roman"/>
          <w:b/>
          <w:i/>
          <w:color w:val="000000"/>
          <w:sz w:val="20"/>
        </w:rPr>
        <w:t>The loss of key members of our executive management team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in implementing our business strategy depends largely on the skills, experience and performance of key members of our executive management team and others in key management positions.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executive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 </w:t>
      </w:r>
    </w:p>
    <w:p>
      <w:pPr>
        <w:pStyle w:val="TextBody"/>
        <w:bidi w:val="0"/>
        <w:spacing w:before="180" w:after="283"/>
        <w:jc w:val="left"/>
        <w:rPr>
          <w:rFonts w:ascii="Times New Roman" w:hAnsi="Times New Roman"/>
          <w:sz w:val="20"/>
        </w:rPr>
      </w:pPr>
      <w:r>
        <w:rPr>
          <w:rFonts w:ascii="Times New Roman" w:hAnsi="Times New Roman"/>
          <w:b/>
          <w:i/>
          <w:color w:val="000000"/>
          <w:sz w:val="20"/>
        </w:rPr>
        <w:t>There is a scarcity of experienced professionals in our industry. If we are not able to retain and recruit personnel with the requisite technical skills, we may be unable to successfully execute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Any future development or commercialization agreements we may enter into for our products may place the development or distribution of these products outside our control, may require us to relinquish important rights, or may otherwise be on terms unfavorable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enter into distribution or commercialization agreements with third parties with respect to our products. Our likely collaborators for any distribution, marketing, licensing or other collaboration arrangements include large and mid-size companies,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products are subject to numerous risks,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any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efforts based on clinical trial results, changes in their strategic focus for a variety of reasons, potentially including the acquisition of competitive products, availability of funding, and mergers or acquisitions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abandon a product, repeat or conduct new clinical trials or require a new engineering iteration of a product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products may not commit sufficient resources to their marketing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products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commercialize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termination or disruption of collaborations could result in delays in the development of products, increases in our costs to develop the products or the termination of development of a product. </w:t>
      </w:r>
    </w:p>
    <w:p>
      <w:pPr>
        <w:pStyle w:val="TextBody"/>
        <w:bidi w:val="0"/>
        <w:spacing w:before="120" w:after="283"/>
        <w:jc w:val="left"/>
        <w:rPr>
          <w:rFonts w:ascii="Times New Roman" w:hAnsi="Times New Roman"/>
          <w:sz w:val="20"/>
        </w:rPr>
      </w:pPr>
      <w:r>
        <w:rPr>
          <w:rFonts w:ascii="Times New Roman" w:hAnsi="Times New Roman"/>
          <w:b/>
          <w:i/>
          <w:color w:val="000000"/>
          <w:sz w:val="20"/>
        </w:rPr>
        <w:t>Because we intend to do business outside the U.S., we will be subject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variety of risks associated with international operations could materially adversely affect our business,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regulatory requirements for drug approvals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wars, trade barriers, trade restrictions, export or import sanctions,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including the outbreak of hostilities in the Ukraine, the Middle East, outbreaks of disease, or natural disasters including earthquakes, typhoons, floods and fires.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with respect to trade policies, treaties, tariffs, taxes and other limitations on cross-border operations. Since beginning his second term in office, President Trump has made and continues to make significant additional changes in U.S. trade policy and may continue to take future actions that could negatively impact U.S. trade. Such trade policies and tariff implementations, and any related retaliatory trade policies and tariff implementations by foreign governments, may result in any materials that we import to the U.S. from countries subject to tariffs becoming more expensive or increase the price of VYKAT XR in other countries, which could have a material adverse impact on our business, financial condition and results of operations. We cannot predict what actions may ultimately be taken with respect to trade relations between the United States and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 results of operations would be materially and adversely affected.</w:t>
      </w:r>
    </w:p>
    <w:p>
      <w:pPr>
        <w:pStyle w:val="TextBody"/>
        <w:bidi w:val="0"/>
        <w:spacing w:before="180" w:after="283"/>
        <w:jc w:val="left"/>
        <w:rPr>
          <w:rFonts w:ascii="Times New Roman" w:hAnsi="Times New Roman"/>
          <w:sz w:val="20"/>
        </w:rPr>
      </w:pPr>
      <w:r>
        <w:rPr>
          <w:rFonts w:ascii="Times New Roman" w:hAnsi="Times New Roman"/>
          <w:b/>
          <w:i/>
          <w:color w:val="000000"/>
          <w:sz w:val="20"/>
        </w:rPr>
        <w:t>We have incurred and will continue to incur significant increased costs as a result of operating as a public company, and our management has devoted and will be required to continue to devote substantial time to new compliance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(SOX)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SOX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SOX (Section 404). We currently do not have an internal audit group, and we will need to hire additional accounting and financial staff with appropriate public company experience and technical accounting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required by Section 404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 404, which requires annual assessments by management of the effectiveness of our internal control over financial reporting. Effective December 31, 2024, we no longer qualify as a smaller reporting company and the reduced compliance requirements to smaller reporting companies no longer apply to us. As such, our auditor was required to attest to the effectiveness of our internal control over financial reporting beginning with our annual report on Form 10-K for the year ended December 31, 2024. We must implement and maintain substantial internal control systems and procedures to satisfy the reporting requirements under the Securities Exchange Act of 1934. 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 or any subsequent testing by our independent registered public accounting firm in connection with Section 404,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Ineffective internal controls could also cause investors to lose confidence in our reported financial information, which could have a negative effect on the trading price of our common stock. To achieve compliance with Section 404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 the future we may identify additional material weaknesses, fail to remediate our current material weakness or otherwise fail to maintain an effective system of internal controls, which may result in material misstatements of our financial statements or cause us to fail to meet our periodic reporting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Item 4 of this Quarterly Report on Form 10-Q, in preparing our consolidated financial statements as of and for the year ended December 31, 2024, our management concluded that our disclosure controls and procedures and our internal control over financial reporting were not effective at the reasonable assurance level. To address this material weakness, we plan to take actions designed to improve our internal control over financial reporting and remediate the control deficiencies that led to the material weakness. If we discover additional weaknesses in our system of internal financial and accounting controls and procedures, our consolidated financial statements may contain material misstatements, and we could be required to restate our financial results.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Capital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experience an interruption in supply from a material sole source supplier, our business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nor do we plan to acquire the infrastructure or capability internally to manufacture or distribute VYKAT XR. We are currently dependent on sole source suppliers to produce raw materials, active pharmaceutical ingredients (APIs), the finished drug product and the associated packaging for VYKAT XR. If there is an interruption in supply from these sole source suppliers, for any reason, there can be no assurance that we will be able to obtain adequate quantities of the raw materials within a reasonable time or at commercially reasonable prices. Interruptions in supplies due to pricing, timing, availability, or other issues with our sole source suppliers could have a negative impact on our contract manufacturer's ability to manufacture VYKAT XR, which in turn could adversely affect the commercialization of VYKAT XR.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Regardless of whether a sole source supplier enters into a written supply arrangement with us, such supplier could still delay, suspend, or terminate supply of raw materials to us for a number of reasons, including manufacturing or quality issues, payment disputes with us, or bankruptcy or insolvency situations.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or quality assurance difficulties at our contractors and suppliers, the failure or refusal of a supplier or contract manufacturer to supply contracted quantities, or increases in demand on a supplier with constrained capacity could result in delays and disruptions in the manufacturing, distribution, and sale of VYKAT XR, leading to lost revenue or reduced market opportunities. Supply constraints may also lead to pauses, discontinuations, or other product availability issues, which could have a material adverse effect on our consolidated results of operations and cash flows. Further, cost inflation and transportation and logistics challenges in the future may cause delays in, and increase costs related to, procurement activity, and supplier or contract manufacturer arrangements.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If a sole source supplier ceases supply of drug substance, drug product or labeled finished product, there is no guarantee that we will find an alternative supplier on terms acceptable to us, or at all. Finding alternative suppliers may not be feasible or could take a significant amount of time and involve significant expense due to the nature of VYKAT XR. Further the qualification process for a new vendor could take months or years, and any such delay in qualification could significantly harm our business. </w:t>
      </w:r>
    </w:p>
    <w:p>
      <w:pPr>
        <w:pStyle w:val="TextBody"/>
        <w:bidi w:val="0"/>
        <w:jc w:val="both"/>
        <w:rPr>
          <w:rFonts w:ascii="Times New Roman" w:hAnsi="Times New Roman"/>
          <w:b/>
          <w:i/>
          <w:color w:val="000000"/>
          <w:sz w:val="20"/>
        </w:rPr>
      </w:pPr>
      <w:r>
        <w:rPr>
          <w:rFonts w:ascii="Times New Roman" w:hAnsi="Times New Roman"/>
          <w:b/>
          <w:i/>
          <w:color w:val="000000"/>
          <w:sz w:val="20"/>
        </w:rPr>
        <w:t>In the United States, we intend to rely on one or more specialty pharmacies to dispense VYKAT XR, deliver customer support, and provide us with related services, and our business could be harmed and we could be subject to liabilities if these services are performed inadequately or in a manner that does not comply with applicable laws and regulations.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Our VYKAT XR sales in the United States will initially be through a single specialty pharmacy and therefore our sales of VYKAT XR will be highly dependent on the performance of this specialty pharmacy. A specialty pharmacy is a pharmacy that specializes in the dispensing of medications which often require a high level of patient education and ongoing management. The use of a specialty pharmacy involves risks, including, but not limited to, risks that a specialty pharmacy: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does not effectively dispense or support VYKAT XR;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fails to properly administer copay mitigation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provide us with accurate or timely information regarding their inventories or the number of patients who are using VYKAT XR;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fails to provide timely and accurate information regarding product adverse events or product complaints;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devote the resources necessary to dispense VYKAT XR in a manner that meets patient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unable to satisfy financial obligations to us or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loses the required licenses to distribute VYKAT XR;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ceases operations.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If a specialty pharmacy partner does not fulfill its contractual obligations to us or fails to adequately dispense VYKAT XR and deliver customer support, our product sales and business could be harmed or we could be subject to legal or regulatory liabilities or sanctions. Furthermore, arrangements between manufacturers and specialty pharmacies can be subject to government scrutiny and challenge under fraud and abuse laws if not structured properly. </w:t>
      </w:r>
    </w:p>
    <w:p>
      <w:pPr>
        <w:pStyle w:val="TextBody"/>
        <w:bidi w:val="0"/>
        <w:jc w:val="left"/>
        <w:rPr>
          <w:rFonts w:ascii="Times New Roman" w:hAnsi="Times New Roman"/>
          <w:sz w:val="20"/>
        </w:rPr>
      </w:pPr>
      <w:r>
        <w:rPr>
          <w:rFonts w:ascii="Times New Roman" w:hAnsi="Times New Roman"/>
          <w:b/>
          <w:i/>
          <w:color w:val="000000"/>
          <w:sz w:val="20"/>
        </w:rPr>
        <w:t>We rely on third parties to conduct certain components of our clinical trials, and those third parties may not perform satisfactorily, including failing to meet deadlines for the completion of such studies.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We rely on third parties, such as contract research organizations,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trials is conducted in accordance with the general investigational plan and protocols for the study. Moreover, the FDA requires us and third parties involved in the set-up, conduct,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analysis and reporting of the clinical trials to comply with regulations and with standards, commonly referred to as good clinical practices (GCPs), to assure that data and reported results are credible and accurate and that the rights, integrity and confidentiality of patients in clinical trials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 </w:t>
      </w:r>
    </w:p>
    <w:p>
      <w:pPr>
        <w:pStyle w:val="TextBody"/>
        <w:bidi w:val="0"/>
        <w:jc w:val="left"/>
        <w:rPr>
          <w:rFonts w:ascii="Times New Roman" w:hAnsi="Times New Roman"/>
          <w:sz w:val="20"/>
        </w:rPr>
      </w:pPr>
      <w:r>
        <w:rPr>
          <w:rFonts w:ascii="Times New Roman" w:hAnsi="Times New Roman"/>
          <w:b/>
          <w:i/>
          <w:color w:val="000000"/>
          <w:sz w:val="20"/>
        </w:rPr>
        <w:t>If we use biological and hazardous materials in a manner that causes injury, we could be liable for damages.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 </w:t>
      </w:r>
    </w:p>
    <w:p>
      <w:pPr>
        <w:pStyle w:val="TextBody"/>
        <w:bidi w:val="0"/>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their intellectual property rights, the outcome of which would be uncertain and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avoiding infringement and other violations of the patents and proprietary rights of third parties. Patent and other intellectual property litigation is prevalent in our sectors.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 Patent and Trademark Office (USPTO), as well as oppositions and similar processes in foreign jurisdictions.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As the biotechnology and pharmaceutical industries expand and more patents are issued, and as we gain greater visibility and market exposure, the risk increases that our commercialization of VYKAT XR or other business activities may be subject to claims of infringement of the patent and other proprietary rights of third parties. Third parties may assert that we are infringing their patents or employing their proprietary technology without authorization. We may become party to, or be threatened with, future adversarial proceedings or litigation regarding intellectual property rights with respect to our products.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intellectual property licensed to us and could require us to pay significant royalties and other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there may be third-party patents or patent applications with claims to materials, formulations, methods of manufacture or methods for treatment related to the use or manufacture of VYKAT XR. Because patent applications can take many years to issue, there may be currently pending patent applications which may later result in issued patents that our product may infringe.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third parties may obtain patent rights in the future and claim that use of our products infringes upon these rights. If any third-party patents were held by a court of competent jurisdiction to cover the manufacturing process of VYKAT XR, any molecules formed during the manufacturing process or any final product itself, the holders of any such patents may be able to block our ability to continue to commercialize VYKAT XR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our product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forced, including by court order, to cease commercializing the infringing product. In addition, we could be found liable for monetary damages. A finding of infringement could prevent us from commercializing our planned products or force us to cease some of our business operations, which could materially harm our business. Defense of these claims, regardless of their merit,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which may be impossible or require substantial time and monetary expenditure. We cannot predict whether any such license would be available at all or whether it would be available on commercially reasonable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 </w:t>
      </w:r>
    </w:p>
    <w:p>
      <w:pPr>
        <w:pStyle w:val="TextBody"/>
        <w:bidi w:val="0"/>
        <w:spacing w:before="180" w:after="283"/>
        <w:jc w:val="left"/>
        <w:rPr>
          <w:rFonts w:ascii="Times New Roman" w:hAnsi="Times New Roman"/>
          <w:sz w:val="20"/>
        </w:rPr>
      </w:pPr>
      <w:r>
        <w:rPr>
          <w:rFonts w:ascii="Times New Roman" w:hAnsi="Times New Roman"/>
          <w:b/>
          <w:i/>
          <w:color w:val="000000"/>
          <w:sz w:val="20"/>
        </w:rPr>
        <w:t>Our ability to successfully commercialize our products may be materially adversely affected if we are unable to obtain and maintain effective intellectual property rights for our planned products, or if the scope of the intellectual property protection is not sufficiently broad.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and other intellectual property protection in the U.S. and in other countries with respect to our proprietary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products or which effectively prevent others from commercializing competitive products. The laws of foreign countries may not protect our rights to the same extent as the laws of the U.S. For example, many countries restrict the patentability of methods of treatment of the human body.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products, in whole or in part, or which effectively prevent others from commercializing competitive products. Changes in either the patent laws or interpretation of the patent laws in the U.S. and other countries may diminish the value of the patents we rely on or narrow the scope of our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may be subject to a third-party pre-issuance submission of prior art to the USPTO or become involved in opposition, derivation, reexamination, inter partes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VYKAT XR.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VYKAT XR, we may be open to competition from generic versions of VYKAT XR. Given the amount of time required for the development, testing and regulatory review of new planned products, patents protecting such products might expire before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shortly after such products are commercialized. As a result, our patent portfolio may not provide us with sufficient rights to exclude others from commercializing products similar or identical to ours or otherwise provide us with a competitive advantage.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validity, enforceability, and commercial value of trademark rights are also uncertain. Pending and future trademark applications may not be successful.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become involved in legal proceedings to protect or enforce our intellectual property rights, which could be expensive, time-consuming, or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Competitors may infringe or otherwise violate the patents we rely on, or our other intellectual property rights including trademarks. To counter infringement or unauthorized use, we may be required to file infringement claims, which can be expensive and time-consuming, and there can be no assurance that such efforts will be successful. Our ability to enforce our patents and other intellectual property rights also depends on the laws of individual countries and each country’s practices regarding the enforcement of intellectual property rights and may also be impacted by regulatory actions taken by governmental authorities that affect our ability to use and maintain our intellectual property rights. The loss of patent protection or regulatory exclusivity on VYKAT XR or future products, including potential challenges to our Orange Book patent listings in the U.S., could materially impact our business, results of operations, financial condition and prospects.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or defense proceedings could put one or more patents at risk of being invalidated or interpreted narrowly and could put our patent applications at risk of not issuing. In patent litigation in the U.S., defendant counterclaims alleging invalidity 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hAnsi="Times New Roman"/>
          <w:i/>
          <w:color w:val="000000"/>
          <w:sz w:val="20"/>
        </w:rPr>
        <w:t>ex parte</w:t>
      </w:r>
      <w:r>
        <w:rPr>
          <w:rFonts w:ascii="Times New Roman" w:hAnsi="Times New Roman"/>
          <w:color w:val="000000"/>
          <w:sz w:val="20"/>
        </w:rPr>
        <w:t xml:space="preserve"> reexaminations, </w:t>
      </w:r>
      <w:r>
        <w:rPr>
          <w:rFonts w:ascii="Times New Roman" w:hAnsi="Times New Roman"/>
          <w:i/>
          <w:color w:val="000000"/>
          <w:sz w:val="20"/>
        </w:rPr>
        <w:t>inter partes</w:t>
      </w:r>
      <w:r>
        <w:rPr>
          <w:rFonts w:ascii="Times New Roman" w:hAnsi="Times New Roman"/>
          <w:color w:val="000000"/>
          <w:sz w:val="20"/>
        </w:rPr>
        <w:t xml:space="preserve">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prevent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or derivation proceedings provoked by third parties or brought by the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U.S. Congress and certain state legislatures in the U.S. have also passed, or have proposed passing, legislation that could adversely impact our ability to settle patent litigations. For example, the State of California has enacted legislation that creates a presumption, with certain exceptions and safe harbors, that various types of patent litigation settlements are anti-competitive, and imposes substantial monetary penalties on companies and individuals who do not comply. The enforcement of this law has been preliminarily enjoined on constitutional grounds, but such legislation still creates a risk of significant potential exposure for settling patent litigations and, in turn, makes it more difficult to settle in the first place, which could have a material adverse effect on our business. VYKAT XR is listed in the Orange Book and can be cited by potential generic competitors in support of approval of an abbreviated new drug application (ANDA). An ANDA provides for the marketing of a drug product that has the same active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ingredients in the same strengths and dosage form as the listed drug and has been shown to be bioequivalent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certify to a listed method-of-use patent. If the ANDA applicant does not challenge the listed patents, the ANDA application will not be approved until all the listed patents claiming the referenced product have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receive a Paragraph IV certification asserting that the new product will not infringe our listed patents for VYKAT XR, or that such patents are invalid. Upon receipt of such a Paragraph IV certification, we would have 45 days from the receipt of such a certification to initiate a patent infringement lawsuit.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ANDA application also will not be approved until any applicable non-patent exclusivity, such as Orphan Exclusivity, listed in the Orange Book for the referenced product has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including potential challenges to our Orange Book patent listings in the U.S.,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are unable to protect the confidentiality of our trade secrets, the value of our technology could be materially adversely affected, harming our business and competitive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not be able to protect or enforce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Proceedings to enforce our patent rights in foreign jurisdictions could result in substantial cost and divert our efforts and attention from other aspects of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conflict in Ukraine and related sanctions could significantly devalue our Russian, Belarusian, and Eurasian patents and/or patent applications. Recent Russian decrees may also significantly limit our ability to enforce Russian patents. We cannot predict when or how this situation will change.</w:t>
      </w:r>
    </w:p>
    <w:p>
      <w:pPr>
        <w:pStyle w:val="TextBody"/>
        <w:bidi w:val="0"/>
        <w:spacing w:before="18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similar to our current and planned products, but that are not covered by claims in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original filers of our patents that we developed or purchased might not have been the first to make the inventions covered by the claims contained in such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file patent applications covering an invention;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may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may not provide us with any competitive advantages, or may be held invalid, unenforceable or not properly listable in the Orange Book in the U.S.,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or in-license additional proprietary technologies that are patentable;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significantly harm our business, results of operations and prospects. </w:t>
      </w:r>
    </w:p>
    <w:p>
      <w:pPr>
        <w:pStyle w:val="TextBody"/>
        <w:bidi w:val="0"/>
        <w:spacing w:before="180" w:after="283"/>
        <w:jc w:val="left"/>
        <w:rPr>
          <w:rFonts w:ascii="Times New Roman" w:hAnsi="Times New Roman"/>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of European patent laws have also increased in recent years. In Europe, a new unitary patent system took effect June 1, 2023, which has significantly impacted European patents, including those granted before the introduction of such a system. Under the unitary patent system, European applications have the option, upon grant of a patent, of becoming a Unitary Patent which will be subject to the jurisdiction of the Unitary Patent Court (UPC). Patents granted before the implementation of the UPC have the ability to opt out of the jurisdiction of the UPC and remain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recent reforms and changes at government agencies of the U.S.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180" w:after="283"/>
        <w:jc w:val="left"/>
        <w:rPr>
          <w:rFonts w:ascii="Times New Roman" w:hAnsi="Times New Roman"/>
          <w:sz w:val="20"/>
        </w:rPr>
      </w:pPr>
      <w:r>
        <w:rPr>
          <w:rFonts w:ascii="Times New Roman" w:hAnsi="Times New Roman"/>
          <w:b/>
          <w:i/>
          <w:color w:val="000000"/>
          <w:sz w:val="20"/>
        </w:rPr>
        <w:t>If we do not obtain a patent term extension in the U.S. under the Hatch-Waxman Act and in foreign countries under similar legislation, thereby potentially extending the term of our marketing exclusivity for our planned products,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of their former employers or other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employ individuals who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Additionally, while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These and other claims that we have misappropriated the confidential information or trade secrets of third parties can have a similar negative impact on our business to the infringement claims discussed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The regulatory approval process is expensive, time consuming and uncertain, and we may not be successful in obtaining approvals for our planned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testing, manufacturing, labeling, approval, selling, import, export, marketing and distribution of our products are subject to extensive regulation by the FDA in the U.S. and other regulatory authorities in other countries, and these regulations differ from country to country. We are not permitted to market our planned products until we have received the requisite approval or clearance from the appropriate authorities. In March 2025, we announced that the FDA has approved VYKAT XR in the U.S. for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treatment of hyperphagia in adults and pediatric patients 4 years of age and older with PWS. In May 2025, we announced that our MAA for obtaining regulatory approval of diazoxide choline prolonged-release tablets (which we market in the U.S. as VYKAT XR) for the treatment of adults and children four years and older with PWS who have hyperphagia had been validated by the EMA. Obtaining approvals from regulatory authorities can be a lengthy, expensive and uncertain process. In addition, failure to comply with FDA and other applicable U.S. and foreign regulatory requirements may subject us to administrative or judicially imposed sanctions,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or criminal penalties and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of any ongoing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accept or approve applications for marketing approval of new drugs or biologics or supplements to approved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seizure or detention of our products or import bans.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receiving approval to commercialize any of our planned products in the U.S. or abroad, we will be required to demonstrate with substantial evidence from well-controlled clinical trials, and to the satisfaction of the FDA and other regulatory authorities abroad, that such planned products are safe and effective for their intended uses. Results from preclinical studies and clinical trials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trials of our planned products and result in the FDA or other regulatory authorities denying approval of our planned products for any or all targeted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approval from the FDA or a comparable foreign regulatory authority is not guaranteed, and the approval process is expensive and may take several years. The FDA and comparable regulatory authorities also have substantial discretion in the approval process. Despite the time and expense exerted, failure can occur at any stage, and we could encounter problems that cause us to abandon or repeat clinical trials or perform additional preclinical studies and clinical trials. The number of preclinical studies and clinical trials that will be required for FDA approval or approval from comparable regulatory authorities varies depending on the planned product, the disease or condition that the planned product is designed to address and the regulations applicable to any particular planned product. The FDA and comparable regulatory authorities can delay, limit or deny approval of a planned product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planned product may not be deemed safe or 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officials may not find the data from preclinical studies and clinical trials sufficient;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might not approve our or our third-party manufacturer’s processes or facilities;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change its approval policies or adopt new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planned products fail to demonstrate safety and effectiveness in clinical trials or do not gain regulatory approval, our business and results of operations will be materially and adversely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Applications for our product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regulatory authorities may reject some or all of our data from clinical trials due to concerns related to bias, unblinding before statistical analysis plan is finalized, and/or reliability of data when the analysis is considered exploratory and not planned prospectively;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regulatory authorities may not accept data pooled from different studies, especially if the studies features are not sufficiently similar;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regulatory authorities finds that our data are not adequate to support the safety and efficacy of our product candidate for the proposed 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regulatory authorities may disagree with our statistical analysis plans;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authorities may determine that our product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authorities may disagree with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clinical trials may not meet the statutory standard for substantial evidence of effectiveness or may fail to demonstrate statistical significance on the primary endpoint;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regulatory authorities that our product candidate’s risk-benefit ratio for its proposed indication is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priorities, reduction in staffing, large staff turnover or inadequate funding for the regulatory authorities could hinder those agencies from performing normal business functions and increase the time necessary for regulatory submissions to be reviewed and approved, or decrease the likelihood of an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regulatory authorities may significantly change in a manner rendering our clinical data insufficient for approval or resulting in delays in our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we obtain approval of a product candidate, regulatory authorities may approve a product candidate for fewer or more limited indications than we initially request, or may impose significant limitations in the form of narrow indications, warnings, contraindications, or a risk evaluation and mitigation strategy (REMS). Regulatory authorities may not approve the price we intend to charge for a product candidate, may grant approval contingent on the performance of costly post-marketing clinical trials or other post-marketing studies, or may approve a product candidate with a label that does not include the labeling claims necessary or desirable for the successful commercialization of a product candidate. Any of the foregoing scenarios could seriously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under the current administration and new leadership at the Department of Health and Human Services (HHS) and the FDA, executive orders and layoffs due to the reduction in force initiative, government shutdowns and other measures implemented by the U.S. government may impact the normal operations of the FDA as well as other federal agencies. The FDA may lack adequate staff and resources to meet current review, approval, and inspection schedules, which could delay our anticipated timelines. In January 2025, an executive order entitled “Unleashing Prosperity Through Deregulation”, was issued which calls for at least 10 existing regulations to be repealed whenever an executive department or agency publicly proposes for notice and comment or otherwise promulgates a new regulation. Recent developments at the FDA include announcement of a new Commissioner’s National Priority Voucher program for companies supporting certain U.S. national health priorities and interests. To the extent our competitors are selected for this new voucher pilot program and obtain faster approvals, our competitive position may be harmed. It is unclear how our industry and our clinical programs and operations will be impacted by policies and regulations implemented under the current administration and FDA leadership, or other executive orders. There is significant uncertainty in the industry and how federal agencies like the FDA will change in the coming years under the current administration. To the extent new policies and other agency changes lead to disruptions in the FDA’s operations, our correspondence and regulatory review processes with the FDA may be materially delayed.</w:t>
      </w:r>
    </w:p>
    <w:p>
      <w:pPr>
        <w:pStyle w:val="TextBody"/>
        <w:bidi w:val="0"/>
        <w:spacing w:before="180" w:after="283"/>
        <w:jc w:val="left"/>
        <w:rPr>
          <w:rFonts w:ascii="Times New Roman" w:hAnsi="Times New Roman"/>
          <w:sz w:val="20"/>
        </w:rPr>
      </w:pPr>
      <w:r>
        <w:rPr>
          <w:rFonts w:ascii="Times New Roman" w:hAnsi="Times New Roman"/>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become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regulatory authorities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180" w:after="283"/>
        <w:jc w:val="left"/>
        <w:rPr>
          <w:rFonts w:ascii="Times New Roman" w:hAnsi="Times New Roman"/>
          <w:sz w:val="20"/>
        </w:rPr>
      </w:pPr>
      <w:r>
        <w:rPr>
          <w:rFonts w:ascii="Times New Roman" w:hAnsi="Times New Roman"/>
          <w:b/>
          <w:i/>
          <w:color w:val="000000"/>
          <w:sz w:val="20"/>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marketing approval has been obtained, the approved product and its manufacturer are subject to continual review by the FDA or non-U.S. regulatory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 and may not be the same in all geographies, which may cause confusion.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approvals may contain requirements for potentially costly post-marketing follow-up studies to monitor the safety and effectiveness of the approved product. In addition, we are subject to extensive and ongoing regulatory requirements by the FDA, EMA and other regulatory authorities with regard to the labeling, packaging, adverse event reporting, storage, advertising, promotion and recordkeeping for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required to comply with cGMP and foreign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EMA and other regulatory authorities for compliance with cGMP and foreign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 In addition, in June 2024, the U.S. Supreme Court in Loper Bright Enterprises v. Raimondo reversed its longstanding approach under the Chevron doctrine, which gave deference to regulatory agencies in litigation against the FDA and other agencies. As a result, more companies may bring lawsuits against the FDA to challenge longstanding decisions and policies of the FDA, which could undermine the FDA’s authority, lead to uncertainties in the industry, and disrupt the FDA’s normal operations, which could delay the FDA’s review of our future marketing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post-approval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and potentially benefit from 10 years of market exclusivity (which period of market exclusivity may be extended by two years for orphan medicinal products that have also complied with an agreed pediatric investigation plan), during which time the EMA is generally precluded from accepting a MAA for a similar medicinal product. Applicants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It is important to note that the regulatory protection afforded to medicinal products such as data exclusivity, marketing protection, market exclusivity for orphan indications and pediatric extension are currently under review at the E.U. level. The protection currently afforded in the E.U. could be reduced in the future. In April 2023, the European Commission adopted a proposal to amend the E.U. pharmaceutical legislation including changes to data protection periods, market exclusivity, and regulatory requirements. The proposed legislation, including recommendations from the European Commission, The European Parliament and the Council of Europe, is currently at the stage of joint negotiation between the three institutions. If adopted in the form proposed, the proposals to revise the existing E.U. laws governing authorization of medicinal products may result in a decrease in data and market exclusivity opportunities for our product candidates in the E.U. and make them open to generic or biosimilar competition earlier than is currently the case with a related reduction in reimbursement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Catalyst Pharms., Inc. v. Becerra, 14 F.4th 1299 (11th Cir. 2021) decision created uncertainty in the application of the orphan drug exclusivity, on January 24, 2023, the FDA published a notice in the Federal Register to clarify that while the agency complies with the court’s order in Catalyst, the FDA intends to continue to apply its longstanding interpretation of the regulations to matters outside of the scope of the Catalyst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orphan exclusivity in the U.S. and other jurisdictions may be lost if the FDA or comparable foreign regulatory authorities later determines that the request for designation was materially defective or if we are unable to ensure that we will be able to manufacture sufficient quantities of the product to meet the needs of patients with the rare disease or condition. In the U.S. and other jurisdictions, orphan drug exclusivity may not effectively protect an approved product from competition because different drugs with different active moieties may be approved for the same condition. Even after an orphan drug is approved, the regulatory authorities can subsequently approve the same drug with the same active moiety for the same condition if the applicable regulatory authorities conclude that the later drug is clinically superior in that it is shown to be safer, more effective or makes a major contribution to patient care or the manufacturer of the product with orphan exclusivity is unable to maintain sufficient product quantity. </w:t>
      </w:r>
    </w:p>
    <w:p>
      <w:pPr>
        <w:pStyle w:val="TextBody"/>
        <w:bidi w:val="0"/>
        <w:spacing w:before="180" w:after="283"/>
        <w:jc w:val="left"/>
        <w:rPr>
          <w:rFonts w:ascii="Times New Roman" w:hAnsi="Times New Roman"/>
          <w:sz w:val="20"/>
        </w:rPr>
      </w:pPr>
      <w:r>
        <w:rPr>
          <w:rFonts w:ascii="Times New Roman" w:hAnsi="Times New Roman"/>
          <w:b/>
          <w:i/>
          <w:color w:val="000000"/>
          <w:sz w:val="20"/>
        </w:rPr>
        <w:t>Failure to obtain marketing approvals in foreign jurisdictions will prevent us from marketing our products internationally.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distribution and marketing partners for our current products outside the U.S. and may market planned products in international markets. In May 2025, we announced that our MAA for obtaining regulatory approval of diazoxide choline prolonged-release tablets (which we market in the U.S. as VYKAT XR) for the treatment of adults and children four years and older with PWS who have hyperphagia had been validated by the EMA. If we obtain E.U. marketing authorization, the expansion of our commercial activities in the E.U. will increase our compliance costs and exposure to potential liabilities under E.U.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are also subject to extensive regulation outside of the U.S., including in the E.U. In the E.U., there is a centralized approval procedure that allows for authorization of marketing of a product by the EMA in all 27 Member States of the E.U. (which includes most major countries in Europe) and is mandatory for medicinal products for rare disease. After receiving regulatory approval through any of the E.U. registration procedures, separate pricing and reimbursement approvals are also required in each Member State. During the time of MAA assessment and following approval of an MAA by the EMA, the applicant is subject to oversight and inspection in pharmacovigilance (Good Vigilance Practice - GVP), clinical trials (Good Clinical Practice - GCP), manufacturing and distribution (Good Manufacturing and Good Distribution Practices- GMP &amp; GDP) and as a Marketing Authorisation Holder.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had limited interactions with foreign regulatory authorities. The approval procedures vary among countries and can involve additional clinical testing, and the time required to obtain approval may differ from that required to obtain FDA approval.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clinical trials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 </w:t>
      </w:r>
    </w:p>
    <w:p>
      <w:pPr>
        <w:pStyle w:val="TextBody"/>
        <w:bidi w:val="0"/>
        <w:spacing w:before="180" w:after="283"/>
        <w:jc w:val="left"/>
        <w:rPr>
          <w:rFonts w:ascii="Times New Roman" w:hAnsi="Times New Roman"/>
          <w:sz w:val="20"/>
        </w:rPr>
      </w:pPr>
      <w:r>
        <w:rPr>
          <w:rFonts w:ascii="Times New Roman" w:hAnsi="Times New Roman"/>
          <w:b/>
          <w:i/>
          <w:color w:val="000000"/>
          <w:sz w:val="20"/>
        </w:rPr>
        <w:t>Healthcare reform measures could hinder or prevent our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result in the imposition of injunctions;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requires collection of rebates for drugs paid by Medicaid managed care organizations;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PPACA. In June 2021, the U.S. Supreme Court dismissed the most recent judicial challenge to the PPACA without specifically ruling on the constitutionality of the ACA. Thus, the ACA remains in force in its current form.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how any additional legislative changes or changes in presidential administrations will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maintain profitability;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IRA are unconstitutional.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U.S. In September and October 2025, the U.S. government announced the first agreements with two major pharmaceutical companies to bring American drug prices in line with the lowest paid by other developed nations, requiring the companies to offer medicines at a deep discount off the list price. Such agreements and other government measures that use most-favored-nation pricing targets for prescription drugs, including the use of international pricing reference to set drug prices in the U.S., or increases generic and biosimilar drug entry sooner than expected, can have a material adverse effect on our industry, the ability to set adequate pricing for new drugs to recover R&amp;D costs, and the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U.S. Such cost containment policies and executive orders could substantially and negatively impact the prices we may charge for any approved products, which could harm our valuation, ability to generate revenue and sustain profitability. In addition, the One Big Beautiful Bill Act (OBBBA), which was signed into law in July 2025, includes provisions that will impact the United States healthcare system in various ways, including budget cuts to Medicaid and introducing new participant work and eligibility requirements for Medicaid coverage, which are expected to significantly change the administration and applicability of Medicaid coverage. The OBBBA also expanded exemptions for orphan designated drugs for Medicare drug price negotiations, which is expected to incentivize development of orphan designated drugs or increase competition for drug development in orphan diseases or conditions. Although the full impact of the OBBBA on the healthcare system and our business is uncertain, the resulting changes may increase the cost and complexity of completing clinical development of and launching any product candidates for which we may receive regulatory approval or increase our competition in the marketplace, any of which could adversely affect our business and prospects. The impact of ongoing and future judicial challenges, as well as future legislative, executive, and administrative actions and healthcare measures and agency rules implemented by the government on us and the pharmaceutical industry as a whole is unclear. To the extent changes lead to disruptions in federal agencies, greater uncertainty in the industry, or impose more constraints on drug pricing, such as the introduction of the most-favored nation pricing or international reference pricing, our business may be materially impacted. The implementation of cost containment measures or other healthcare reforms may negatively impact the valuation of our company or prevent us from being able to generate revenue, sustain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Further, the FDA has authorized the State of Florida to develop a program to import certain prescription drugs from Canada for a limited time-period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sustain profitability or commercialize our products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changes in regulatory requirements and guidance may occur and we may need to amend clinical trial protocols of ongoing studies to reflect these changes. Amendments may require us to resubmit our clinical trial protocols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other regulatory authorities more likely to terminate or suspend clinical trials before completion or require longer or additional clinical trials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may result in substantial additional expense and a delay or failure in obtaining approval or approval for a more limited indication than originally sought.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fail to comply with healthcare regulations, we could face substantial penalties and our business, operations and financial condition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indirectly, to induce either the referral of an individual, for an item or service or the purchasing or ordering of a good or service, for which payment may be made under federal healthcare programs,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criminal laws that prohibit executing a scheme to defraud any healthcare benefit program or making false statements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Insurance Portability and Accountability Act (HIPAA), as amended by the Health Information Technology for Economic and Clinical Health Act of 2009 (HITECH Act), which governs the conduct of certain electronic healthcare transactions and protects the security and privacy of protected health information;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 equivalents of each of the above federal laws, such as anti-kickback and false claims laws which may apply to items or services reimbursed by any third-party payer, including commercial insurers.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relationships with healthcare providers, other customers, and third-party payers are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Now that we have begun commercializing VYKAT XR, we are subject to additional healthcare statutory and regulatory requirements and enforcement by the federal government and the states and foreign governments in which we conduct our business. Healthcare providers, physicians, and third-party payers play a primary role in the recommendation and prescription of VYKAT XR. Our arrangements with third-party payors and customers may expose us to broadly applicable fraud and abuse and other healthcare laws and regulations that may constrain the business or financial arrangements and relationships through which we market, sell,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distribute VYKAT XR. Restrictions under applicable federal and state healthcare laws and regulations include, but are not limited to, the Anti-Kickback Statute, the False Claims Act, HIPAA and the HITECH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business arrangements with third parties comply with applicable healthcare laws and regulations could involve substantial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statutes, regulations or case law involving applicable fraud and abuse, privacy or data protection,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civil, criminal, and administrative penalties, damages, fines, other damages, imprisonment, exclusion from government funded healthcare programs, such as Medicare and Medicaid, and the curtailment or restructuring of our operations. If any of the physicians or other providers or entities with whom we do business is found not to be in compliance with applicable laws, they may be subject to criminal, civil or administrative sanctions, including exclusions from government funded healthcare programs.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subject to U.S. and foreign laws regarding privacy, data protection, and data security that could entail substantial compliance costs, while the failure to comply could subject us to significant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Privacy, data protection, and data security have become significant issues in the U.S., Europe, and other jurisdictions where we conduct or may in the future conduct our operations. The regulatory framework for the collection, use, safeguarding, sharing, and transfer of health and other personal information is rapidly evolving worldwide and is likely to remain in flux for the foreseeable future. The scope and interpretation of the laws that are or may be applicable to us are often uncertain, subject to differing interpretations, and may be inconsistent among different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HIPAA, as amended by the HITECH Act, imposes on covered entities certain requirements relating to the privacy, security, and transmission of individually identifiable health information. The legislation also increased the civil and criminal penalties that may be assessed for violations and gave state attorneys general the authority to file civil actions in federal courts to enforce the HIPAA rules. In addition, for clinical trials conducted in the U.S., any personal information that is collected is further regulated by the Federal Policy for the Protection of Human Subjects. Privacy laws are also being enacted or considered at the state level, including significant new legislation in California, the California Consumer Privacy Act, as amended by the California Privacy Rights Act. While there is currently an exception for protected health information subject to HIPAA and clinical trial regulations, these and other state privacy laws may impact our business activities, and there continues to be uncertainty about how these laws will be interpreted and enforced. Other states have passed privacy legislation, including general privacy legislation similar to the CCPA, and legislation such as Washington’s My Health, My Data Act, that also may impact our business activities, in the future and additional states are evaluating similar legislation. In the event we enroll subjects in clinical trials in the E.U. or other jurisdictions, or otherwise acquire or process personal data of individuals in those jurisdictions, we may be subject to additional restrictions and obligations relating to the collection, use, storage, transfer, and other processing of this data. Our activities in the European Economic Area (EEA), for example, are governed by the E.U. General Data Protection Regulation (GDPR).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take additional steps, such as new contractual negotiations or modifications to our policies or practices relating to cross-border transfers of personal data, to comply with these restrictions and obligations. More generally, laws and regulations governing privacy and data protection exist in many other countries around the world, and these laws (which are evolving and expanding) create complicated and potentially inconsistent obligations that may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increasing number, complexity, and potential inconsistency of current and future laws and regulations relating to privacy, data protection, and data security in the U.S. and other countries make our compliance obligations more difficult and costly. If we fail to comply with applicable laws and regulations or experience a breach of security that results in unauthorized disclosure of personal information - or if a third party with whom we share personal information or who processes such information for us fails to comply with applicable requirements or experiences a security breach or incident- or if any of these is reported or perceived to have occurred, it could lead to government investigations, enforcement actions, and other proceedings, as well as civil claims and litigation against us. We could incur substantial costs to defend against any such claims or proceedings and may also be held liable for significant fines, penalties, and monetary judgments. Any of the foregoing could have a material adverse effect on our business, results of operations, reputation, and prospects.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securities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Our stock price may be volatile, and purchasers of our securities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has been and is likely to continue to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purchase price. The market price for our common stock may be influenced by many factors, including the following: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and realize sustained revenues from sales of VYKAT XR;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other clinical trials of our products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commercialization partners,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products, clinical trials,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products or planned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our collaborations, including but not limited to those with our sources of manufacturing supply and our commercialization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our ability to bring our manufacturing processes to scale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those due to inflation;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risks described in this “Risk Factors” section.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 </w:t>
      </w:r>
    </w:p>
    <w:p>
      <w:pPr>
        <w:pStyle w:val="TextBody"/>
        <w:bidi w:val="0"/>
        <w:spacing w:before="180" w:after="283"/>
        <w:jc w:val="left"/>
        <w:rPr>
          <w:rFonts w:ascii="Times New Roman" w:hAnsi="Times New Roman"/>
          <w:sz w:val="20"/>
        </w:rPr>
      </w:pPr>
      <w:r>
        <w:rPr>
          <w:rFonts w:ascii="Times New Roman" w:hAnsi="Times New Roman"/>
          <w:b/>
          <w:i/>
          <w:color w:val="000000"/>
          <w:sz w:val="20"/>
        </w:rPr>
        <w:t>Future sales of our common stock, or the perception that future sales may occur, may cause the market price of our common stock to decline,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 </w:t>
      </w:r>
    </w:p>
    <w:p>
      <w:pPr>
        <w:pStyle w:val="TextBody"/>
        <w:bidi w:val="0"/>
        <w:spacing w:before="180" w:after="283"/>
        <w:jc w:val="left"/>
        <w:rPr>
          <w:rFonts w:ascii="Times New Roman" w:hAnsi="Times New Roman"/>
          <w:sz w:val="20"/>
        </w:rPr>
      </w:pPr>
      <w:r>
        <w:rPr>
          <w:rFonts w:ascii="Times New Roman" w:hAnsi="Times New Roman"/>
          <w:b/>
          <w:i/>
          <w:color w:val="000000"/>
          <w:sz w:val="20"/>
        </w:rPr>
        <w:t>Our ability to use our net operating loss carry forwards and certain other tax attributes will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utilize our federal net operating loss, carryforwards and federal tax credit will be limited under Sections 382 and 383 of the Internal Revenue Code of 1986, as amended (the Code). The limitations apply if an “ownership change,” as defined by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The Company has completed a Section 382 analysis from January 1, 2017 through December 31, 2023 and determined that a change in ownership has occurred on March 7, 2017, December 21, 2018, June 30, 2020 and September 26, 2023. As a result, the net operating loss carryforwards and tax credit carryforwards maybe subject to annual limitations before being applied to reduce future income tax liabilities. For years ended after December 31, 2023, the utilization of net operating losses and tax credit carryforwards are subject to further limitation in the event an additional ownership change were to occur for tax purposes. In addition, we raised capital in May 2024 and July 2025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 </w:t>
      </w:r>
    </w:p>
    <w:p>
      <w:pPr>
        <w:pStyle w:val="TextBody"/>
        <w:bidi w:val="0"/>
        <w:spacing w:before="180" w:after="283"/>
        <w:jc w:val="left"/>
        <w:rPr>
          <w:rFonts w:ascii="Times New Roman" w:hAnsi="Times New Roman"/>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continue to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recently have been and may be in the future become subject to short-selling campaigns, activist investors and securities litigation, which are expensive and could divert management attention.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recently experienced volatility in the market price of our common stock caused by a short-selling campaign, which may lead to securities class action litigation or additional short-selling or activist investor activities. This has resulted and may continue to result in substantial costs and divert management's attention from other business concerns, any of which could seriously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has recently been a concerted effort by an activist short seller to spread negative information about the Company and VYKAT XR in order to gain a market advantage. 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publication of this type of commentary regarding the Company and VYKAT XR by a short seller in August 2025 resulted in a decline in the market price of our common stock. This publication of incomplete or misleading information about the Company and VYKAT XR may also result in provider concerns, patient discontinuations, payer questions, increased insurance premiums and shareholder lawsuits, the uncertainty and expense of which could adversely impact our reputation, business, financial condition, and operating results. No assurance can be made that we will not continue to be the target of such commentary or that declines in the market price of our common stock will not occur in the future in connection with such commentary by this short seller or otherwise.</w:t>
      </w:r>
    </w:p>
    <w:p>
      <w:pPr>
        <w:pStyle w:val="TextBody"/>
        <w:bidi w:val="0"/>
        <w:spacing w:before="180" w:after="283"/>
        <w:jc w:val="left"/>
        <w:rPr>
          <w:rFonts w:ascii="Times New Roman" w:hAnsi="Times New Roman"/>
          <w:sz w:val="20"/>
        </w:rPr>
      </w:pPr>
      <w:r>
        <w:rPr>
          <w:rFonts w:ascii="Times New Roman" w:hAnsi="Times New Roman"/>
          <w:b/>
          <w:i/>
          <w:color w:val="000000"/>
          <w:sz w:val="20"/>
        </w:rPr>
        <w:t>Provisions in our corporate charter documents and under Delaware law could make an acquisition of us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divided into three classes with staggered three-year terms which may delay or prevent a change of our management or a change in control;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the right to elect directors to fill a vacancy created by the expansion of our Board or the resignation, death or removal of a director, which will prevent stockholders from being able to fill vacancies on our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prohibits cumulative voting in the election of directors, which limits the ability of minority stockholders to elect director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amendments of our certificate of incorporation and bylaws require the approval of 66 2/3% of our outstanding voting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180" w:after="283"/>
        <w:jc w:val="left"/>
        <w:rPr>
          <w:rFonts w:ascii="Times New Roman" w:hAnsi="Times New Roman"/>
          <w:sz w:val="20"/>
        </w:rPr>
      </w:pPr>
      <w:r>
        <w:rPr>
          <w:rFonts w:ascii="Times New Roman" w:hAnsi="Times New Roman"/>
          <w:b/>
          <w:i/>
          <w:color w:val="000000"/>
          <w:sz w:val="20"/>
        </w:rPr>
        <w:t>Our employment agreements with our executive officers may require us to pay severance benefits to any of those persons who are terminated in connection with a change in control of us, which could harm our financial condition or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executive officers are parties to employment agreements that contain change in control and severance provisions providing for aggregate cash payments for severance and other benefits and acceleration of equity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future, and, as a result, any return on investment may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information technology systems may fail or experience security breaches and incidents that could adversely impact our business and operations and subject us to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significant growth in the complexity of our data and the software tools that we rely upon. We rely significantly upon information technology systems and infrastructure owned and maintained by us or by third party providers to generate, collect, store, and transmit confidential and proprietary information and data (including but not limited to intellectual property, proprietary business information, and personal information) and to operate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costs related to technical and procedural controls to reduce the risks to our information technology systems. 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face similar risks and may experience similar events that materially impact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 costs to us to investigate and mitigate actual and suspected cybersecurity breaches and incidents could be significant. We may not be able to anticipate all types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accurately predict and identify our information technology systems requirements and failures and timely enhance our information technology systems, or if our remediation efforts are not successful, it could result in a material disruption of our business operations, including the loss or unauthorized disclosure of our trade secrets, individuals’ personal information, or other proprietary or sensitive data. </w:t>
      </w:r>
    </w:p>
    <w:p>
      <w:pPr>
        <w:pStyle w:val="TextBody"/>
        <w:bidi w:val="0"/>
        <w:spacing w:before="120" w:after="283"/>
        <w:jc w:val="left"/>
        <w:rPr>
          <w:rFonts w:ascii="Times New Roman" w:hAnsi="Times New Roman"/>
          <w:sz w:val="20"/>
        </w:rPr>
      </w:pPr>
      <w:r>
        <w:rPr>
          <w:rFonts w:ascii="Times New Roman" w:hAnsi="Times New Roman"/>
          <w:color w:val="000000"/>
          <w:sz w:val="20"/>
        </w:rPr>
        <w:t>Moreover, any security breach or other event that leads to loss of, unauthorized access to, disclosure of, or other processing of personal information could harm our reputation, compel us to comply with federal and/or state notification laws and foreign law equivalents, subject us to mandatory corrective action, and otherwise subject us to liability under laws and regulations that protect the privacy and security of personal information. For more information see our risk factor “</w:t>
      </w:r>
      <w:r>
        <w:rPr>
          <w:rFonts w:ascii="Times New Roman" w:hAnsi="Times New Roman"/>
          <w:i/>
          <w:color w:val="000000"/>
          <w:sz w:val="20"/>
        </w:rPr>
        <w:t>We are subject to U.S. and foreign laws regarding privacy, data protection, and data security that could entail substantial compliance costs, while the failure to comply could subject us to significant liability</w:t>
      </w:r>
      <w:r>
        <w:rPr>
          <w:rFonts w:ascii="Times New Roman" w:hAnsi="Times New Roman"/>
          <w:color w:val="000000"/>
          <w:sz w:val="20"/>
        </w:rPr>
        <w:t>”.</w:t>
      </w:r>
    </w:p>
    <w:p>
      <w:pPr>
        <w:pStyle w:val="TextBody"/>
        <w:bidi w:val="0"/>
        <w:spacing w:before="180" w:after="283"/>
        <w:jc w:val="left"/>
        <w:rPr>
          <w:rFonts w:ascii="Times New Roman" w:hAnsi="Times New Roman"/>
          <w:sz w:val="20"/>
        </w:rPr>
      </w:pPr>
      <w:r>
        <w:rPr>
          <w:rFonts w:ascii="Times New Roman" w:hAnsi="Times New Roman"/>
          <w:b/>
          <w:i/>
          <w:color w:val="000000"/>
          <w:sz w:val="20"/>
        </w:rPr>
        <w:t>Unfavorable U.S. or global economic conditions as a result of international conflict, or otherwise, could adversely affect our ability to raise capital and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potential economic impact brought by the hostilities in the Ukraine and the Middle East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Environmental, social, and governance (ESG) matters are subject to increasing scrutiny and evolving expectations from customers, regulators, investors and other stakeholders and may expose us to reputational, cost and other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our facilities or our third-party manufacturers’ facilities become unavailable or inoperable, our research and development program and commercialization plan could be adversely impacted and manufacturing of our products could be interrupted.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Redwood City, California, facilities house our corporate, research and development and quality assurance teams. Our drug product is manufactured and packaged at various locations in the United States. Our facilities in Redwood City and those of our third-party manufacturers are vulnerable to natural disasters, public health crises,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manufacture our drug product, combined with our limited inventory of drug product, may result in the loss of future customers or harm our reputation, and we may be unable to re-establish relationships with those customers in the future. If our or our third-party manufacturer’s capabilities are impaired, we may not be able to manufacture and ship our products in a timely manner, which would adversely impact our business. </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40"/>
        <w:jc w:val="left"/>
        <w:rPr>
          <w:rFonts w:ascii="Times New Roman" w:hAnsi="Times New Roman"/>
          <w:sz w:val="20"/>
        </w:rPr>
      </w:pPr>
      <w:bookmarkStart w:id="19" w:name="item_5_or_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have social media posts at X (formerly Twitter)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Quarterly Report on Form 10-Q and should not be considered a part of this Quarterly Report on Form 10-Q.</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(c) </w:t>
      </w:r>
      <w:r>
        <w:rPr>
          <w:rFonts w:ascii="Times New Roman" w:hAnsi="Times New Roman"/>
          <w:b/>
          <w:i/>
          <w:color w:val="000000"/>
          <w:sz w:val="20"/>
        </w:rPr>
        <w:t>Insider Adoption or Termination of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provides information regarding Rule 10b5-1 trading arrangements (as defined in Item 408 of Regulation S-K under the Securities Exchange Act of 1934, each a 10b5-1 Plan) adopted in the three months ended September 30, 2025 by any director or officer who is subject to the filing requirements of Section 16 of the Securities Exchange Act of 1934 (each a Section 16 Director or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Anish Bhatnagar, our Chief Executive Officer and Chairman of the Board adopted a 10b5-1 Plan on August 29, 2025. Mr. Bhatnagar's 10b5-1 Plan provides for the potential sale of up to 263,296 shares of our common stock, and expires on December 31, 2026, or upon the earlier completion of all authorized transactions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Jim Mackaness, our Chief Financial Officer, adopted a 10b5-1 Plan on August 29, 2025. Mr. Mackaness' 10b5-1 Plan provides for the potential sale of up to 139,440 shares of our common stock, and expires on May 29, 2026, or upon the earlier completion of all authorized transactions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Meredith Manning, our Chief Commercial Officer, adopted a 10b5-1 Plan on September 11, 2025. Ms. Manning's 10b5-1 Plan provides for the potential sale of up to 13,400 shares of our common stock, and expires on June 30, 2026, or upon the earlier completion of all authorized transactions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Kristen Yen, our Senior Vice President, Global Clinical Operations and Patient Advocacy, adopted a 10b5-1 Plan on September 12, 2025. Ms. Yen's 10b5-1 Plan provides for the potential sale of up to 102,668 shares of our common stock, and expires on December 31, 2026, or upon the earlier completion of all authorized transactions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Michael Huang, our Senior Vice President, Clinical Development, adopted a 10b5-1 Plan on September 2, 2025. Mr. Huang's 10b5-1 Plan provides for the potential sale of up to 29,100 shares of our common stock, and expires on June 30, 2026, or upon the earlier completion of all authorized transactions thereunder.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trading arrangements are intended to satisfy the affirmative defense of Rule 10b5-1(c). Certain of our Section 16 Directors or Officers may participate in employee stock purchase plans, 401(k) plans or dividend investment plans of us that have been designed to comply with Rule 10b5-1(c). No non-Rule 10b5-1 trading arrangements (as defined in Item 408 of Regulation S-K under the Securities Exchange Act of 1934) were adopted by any Section 16 Director or Officer during the three months ended September 30, 2025. Additionally, no Rule 10b5-1 or non-Rule 10b5-1 trading arrangements were terminated by any Section 16 Director or Officer in the three months ended September 30,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See the Exhibit Index on the page immediately preceding the exhibits for a list of exhibits filed as part of this Quarterly Report on Form 10-Q, which Exhibit Index is incorporated herein by reference.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exhibit_index"/>
      <w:bookmarkEnd w:id="21"/>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879"/>
        <w:gridCol w:w="266"/>
        <w:gridCol w:w="5209"/>
        <w:gridCol w:w="258"/>
        <w:gridCol w:w="991"/>
        <w:gridCol w:w="146"/>
        <w:gridCol w:w="646"/>
        <w:gridCol w:w="146"/>
        <w:gridCol w:w="691"/>
        <w:gridCol w:w="146"/>
        <w:gridCol w:w="827"/>
      </w:tblGrid>
      <w:tr>
        <w:trPr/>
        <w:tc>
          <w:tcPr>
            <w:tcW w:w="87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5209"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87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25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8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31.1</w:t>
            </w:r>
          </w:p>
        </w:tc>
        <w:tc>
          <w:tcPr>
            <w:tcW w:w="266"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hyperlink w:anchor="slno-ex31_1.htm">
              <w:r>
                <w:rPr>
                  <w:rStyle w:val="InternetLink"/>
                  <w:rFonts w:ascii="Times New Roman" w:hAnsi="Times New Roman"/>
                  <w:color w:val="0000FF"/>
                  <w:sz w:val="20"/>
                  <w:u w:val="single"/>
                </w:rPr>
                <w:t>Certification of Principal Executive Officer Required Under Rule 13a-14(a) and 15d-14(a) of the Securities and Exchange Act of 1934, as amended</w:t>
              </w:r>
            </w:hyperlink>
            <w:hyperlink w:anchor="slno-ex31_1.htm">
              <w:r>
                <w:rPr>
                  <w:rStyle w:val="InternetLink"/>
                  <w:rFonts w:ascii="Times New Roman" w:hAnsi="Times New Roman"/>
                  <w:color w:val="0000FF"/>
                  <w:sz w:val="20"/>
                </w:rPr>
                <w:t xml:space="preserve"> </w:t>
              </w:r>
            </w:hyperlink>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31.2</w:t>
            </w:r>
          </w:p>
        </w:tc>
        <w:tc>
          <w:tcPr>
            <w:tcW w:w="266"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hyperlink w:anchor="slno-ex31_2.htm">
              <w:r>
                <w:rPr>
                  <w:rStyle w:val="InternetLink"/>
                  <w:rFonts w:ascii="Times New Roman" w:hAnsi="Times New Roman"/>
                  <w:color w:val="0000FF"/>
                  <w:sz w:val="20"/>
                  <w:u w:val="single"/>
                </w:rPr>
                <w:t>Certification of Principal Financial and Accounting Officer Required Under Rule 13a-14(a) and 15d-14(a) of the Securities and Exchange Act of 1934, as amended</w:t>
              </w:r>
            </w:hyperlink>
            <w:hyperlink w:anchor="slno-ex31_2.htm">
              <w:r>
                <w:rPr>
                  <w:rStyle w:val="InternetLink"/>
                  <w:rFonts w:ascii="Times New Roman" w:hAnsi="Times New Roman"/>
                  <w:color w:val="0000FF"/>
                  <w:sz w:val="20"/>
                </w:rPr>
                <w:t xml:space="preserve"> </w:t>
              </w:r>
            </w:hyperlink>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32.1</w:t>
            </w:r>
            <w:r>
              <w:rPr>
                <w:rFonts w:ascii="Times New Roman" w:hAnsi="Times New Roman"/>
                <w:color w:val="000000"/>
                <w:sz w:val="16"/>
              </w:rPr>
              <w:t></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hyperlink w:anchor="slno-ex32_1.htm">
              <w:r>
                <w:rPr>
                  <w:rStyle w:val="InternetLink"/>
                  <w:rFonts w:ascii="Times New Roman" w:hAnsi="Times New Roman"/>
                  <w:color w:val="0000FF"/>
                  <w:sz w:val="20"/>
                  <w:u w:val="single"/>
                </w:rPr>
                <w:t>Certification of Principal Executive Officer Required Under Rule 13a-14(b) of the Securities and Exchange Act of 1934, as amended, and 18 U.S.C. §1350</w:t>
              </w:r>
            </w:hyperlink>
            <w:hyperlink w:anchor="slno-ex32_1.htm">
              <w:r>
                <w:rPr>
                  <w:rStyle w:val="InternetLink"/>
                  <w:rFonts w:ascii="Times New Roman" w:hAnsi="Times New Roman"/>
                  <w:color w:val="0000FF"/>
                  <w:sz w:val="20"/>
                </w:rPr>
                <w:t xml:space="preserve"> </w:t>
              </w:r>
            </w:hyperlink>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32.2</w:t>
            </w:r>
            <w:r>
              <w:rPr>
                <w:rFonts w:ascii="Times New Roman" w:hAnsi="Times New Roman"/>
                <w:color w:val="000000"/>
                <w:sz w:val="16"/>
              </w:rPr>
              <w:t></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hyperlink w:anchor="slno-ex32_2.htm">
              <w:r>
                <w:rPr>
                  <w:rStyle w:val="InternetLink"/>
                  <w:rFonts w:ascii="Times New Roman" w:hAnsi="Times New Roman"/>
                  <w:color w:val="0000FF"/>
                  <w:sz w:val="20"/>
                  <w:u w:val="single"/>
                </w:rPr>
                <w:t>Certification of Principal Financial and Accounting Officer Required Under Rule 13a-14(b) of the Securities and Exchange Act of 1934, as amended, and 18 U.S.C. §1350</w:t>
              </w:r>
            </w:hyperlink>
            <w:hyperlink w:anchor="slno-ex32_2.htm">
              <w:r>
                <w:rPr>
                  <w:rStyle w:val="InternetLink"/>
                  <w:rFonts w:ascii="Times New Roman" w:hAnsi="Times New Roman"/>
                  <w:color w:val="0000FF"/>
                  <w:sz w:val="20"/>
                </w:rPr>
                <w:t xml:space="preserve"> </w:t>
              </w:r>
            </w:hyperlink>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101.INS</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101.SCH</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104</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ind w:left="0" w:right="0" w:firstLine="120"/>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both"/>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618" w:type="dxa"/>
        <w:jc w:val="left"/>
        <w:tblInd w:w="0" w:type="dxa"/>
        <w:tblLayout w:type="fixed"/>
        <w:tblCellMar>
          <w:top w:w="28" w:type="dxa"/>
          <w:left w:w="28" w:type="dxa"/>
          <w:bottom w:w="28" w:type="dxa"/>
          <w:right w:w="28" w:type="dxa"/>
        </w:tblCellMar>
      </w:tblPr>
      <w:tblGrid>
        <w:gridCol w:w="2101"/>
        <w:gridCol w:w="406"/>
        <w:gridCol w:w="411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45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SOLENO THERAPEUTICS,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Mackaness</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(authorized officer and principal financial and </w:t>
              <w:br/>
              <w:t>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bookmarkStart w:id="23" w:name="slno-ex31_1.htm"/>
      <w:bookmarkStart w:id="24" w:name="ksslno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RULES 13A-14(A) AND 15D-14(A)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Anish Bhatnagar, M.D.,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Soleno Therapeutics,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Anish Bhatnagar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Anish Bhatnagar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lno-ex31_2.htm"/>
      <w:bookmarkStart w:id="26" w:name="ksslnoex31_2"/>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RULES 13A-14(A) AND 15D-14(A)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Mackaness,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Soleno Therapeutics,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Mackaness</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lno-ex32_1.htm"/>
      <w:bookmarkStart w:id="28" w:name="ksslnoex32_1"/>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Soleno Therapeutics, Inc. (the “Company”) on Form 10-Q for the fiscal quarter ended September 30, 2025, as filed with the Securities and Exchange Commission (the “Report”), Anish Bhatnagar, President, Chief Executive Officer of the Company does hereby certify, pursuant to 18 U.S.C. Section 1350, as adopted pursuant to Section 906 of the Sarbanes-Oxley Act of 2002,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Anish Bhatnagar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Anish Bhatnagar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lno-ex32_2.htm"/>
      <w:bookmarkStart w:id="30" w:name="ksslnoex32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Soleno Therapeutics, Inc. (the “Company”) on Form 10-Q for the fiscal quarter ended September 30, 2025, as filed with the Securities and Exchange Commission (the “Report”), James Mackaness, Chief Financial Officer of the Company does hereby certify, pursuant to 18 U.S.C. Section 1350, as adopted pursuant to Section 906 of the Sarbanes-Oxley Act of 2002,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Mackaness</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46550</Words>
  <Characters>257303</Characters>
  <CharactersWithSpaces>305106</CharactersWithSpaces>
  <Paragraphs>6735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